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7E69"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1F6610F8" w14:textId="5C244073" w:rsidR="00AC50DE" w:rsidRDefault="00AC50DE" w:rsidP="001636BB">
      <w:pPr>
        <w:tabs>
          <w:tab w:val="left" w:pos="3990"/>
        </w:tabs>
        <w:spacing w:line="240" w:lineRule="auto"/>
        <w:rPr>
          <w:rFonts w:ascii="Times New Roman" w:hAnsi="Times New Roman" w:cs="Times New Roman"/>
          <w:b/>
          <w:bCs/>
          <w:sz w:val="24"/>
          <w:szCs w:val="24"/>
        </w:rPr>
      </w:pPr>
    </w:p>
    <w:p w14:paraId="54E6815D" w14:textId="77777777" w:rsidR="00AC50DE" w:rsidRPr="00AC50DE" w:rsidRDefault="00AC50DE" w:rsidP="001636BB">
      <w:pPr>
        <w:tabs>
          <w:tab w:val="left" w:pos="3990"/>
        </w:tabs>
        <w:spacing w:line="240" w:lineRule="auto"/>
        <w:jc w:val="both"/>
        <w:rPr>
          <w:rFonts w:ascii="Times New Roman" w:hAnsi="Times New Roman" w:cs="Times New Roman"/>
          <w:b/>
          <w:bCs/>
          <w:sz w:val="52"/>
          <w:szCs w:val="52"/>
        </w:rPr>
      </w:pPr>
    </w:p>
    <w:p w14:paraId="0532BFAD" w14:textId="1668555F" w:rsidR="00AC50DE" w:rsidRPr="00803B8C" w:rsidRDefault="00AC50DE" w:rsidP="001636BB">
      <w:pPr>
        <w:tabs>
          <w:tab w:val="left" w:pos="3990"/>
        </w:tabs>
        <w:spacing w:line="240" w:lineRule="auto"/>
        <w:jc w:val="center"/>
        <w:rPr>
          <w:rFonts w:ascii="Times New Roman" w:hAnsi="Times New Roman" w:cs="Times New Roman"/>
          <w:b/>
          <w:bCs/>
          <w:color w:val="385623" w:themeColor="accent6" w:themeShade="80"/>
          <w:sz w:val="52"/>
          <w:szCs w:val="52"/>
        </w:rPr>
      </w:pPr>
      <w:r w:rsidRPr="00803B8C">
        <w:rPr>
          <w:rFonts w:ascii="Times New Roman" w:hAnsi="Times New Roman" w:cs="Times New Roman"/>
          <w:b/>
          <w:bCs/>
          <w:color w:val="385623" w:themeColor="accent6" w:themeShade="80"/>
          <w:sz w:val="52"/>
          <w:szCs w:val="52"/>
        </w:rPr>
        <w:t>Town of Manlius, New York</w:t>
      </w:r>
    </w:p>
    <w:p w14:paraId="3B9FCA78" w14:textId="324AAE87" w:rsidR="00AC50DE" w:rsidRPr="00803B8C" w:rsidRDefault="00AC50DE" w:rsidP="001636BB">
      <w:pPr>
        <w:tabs>
          <w:tab w:val="left" w:pos="3990"/>
        </w:tabs>
        <w:spacing w:line="240" w:lineRule="auto"/>
        <w:jc w:val="center"/>
        <w:rPr>
          <w:rFonts w:ascii="Times New Roman" w:hAnsi="Times New Roman" w:cs="Times New Roman"/>
          <w:b/>
          <w:bCs/>
          <w:color w:val="385623" w:themeColor="accent6" w:themeShade="80"/>
          <w:sz w:val="52"/>
          <w:szCs w:val="52"/>
        </w:rPr>
      </w:pPr>
      <w:r w:rsidRPr="00803B8C">
        <w:rPr>
          <w:rFonts w:ascii="Times New Roman" w:hAnsi="Times New Roman" w:cs="Times New Roman"/>
          <w:b/>
          <w:bCs/>
          <w:color w:val="385623" w:themeColor="accent6" w:themeShade="80"/>
          <w:sz w:val="52"/>
          <w:szCs w:val="52"/>
        </w:rPr>
        <w:t xml:space="preserve">2019 </w:t>
      </w:r>
      <w:r w:rsidR="004C430D" w:rsidRPr="00803B8C">
        <w:rPr>
          <w:rFonts w:ascii="Times New Roman" w:hAnsi="Times New Roman" w:cs="Times New Roman"/>
          <w:b/>
          <w:bCs/>
          <w:color w:val="385623" w:themeColor="accent6" w:themeShade="80"/>
          <w:sz w:val="52"/>
          <w:szCs w:val="52"/>
        </w:rPr>
        <w:t>Municipal</w:t>
      </w:r>
      <w:r w:rsidRPr="00803B8C">
        <w:rPr>
          <w:rFonts w:ascii="Times New Roman" w:hAnsi="Times New Roman" w:cs="Times New Roman"/>
          <w:b/>
          <w:bCs/>
          <w:color w:val="385623" w:themeColor="accent6" w:themeShade="80"/>
          <w:sz w:val="52"/>
          <w:szCs w:val="52"/>
        </w:rPr>
        <w:t xml:space="preserve"> Greenhouse Gas Inventory</w:t>
      </w:r>
    </w:p>
    <w:p w14:paraId="4265C5AF" w14:textId="77777777" w:rsidR="00AC50DE" w:rsidRPr="00AC50DE" w:rsidRDefault="00AC50DE" w:rsidP="001636BB">
      <w:pPr>
        <w:tabs>
          <w:tab w:val="left" w:pos="3990"/>
        </w:tabs>
        <w:spacing w:line="240" w:lineRule="auto"/>
        <w:jc w:val="both"/>
        <w:rPr>
          <w:rFonts w:ascii="Times New Roman" w:hAnsi="Times New Roman" w:cs="Times New Roman"/>
          <w:b/>
          <w:bCs/>
          <w:sz w:val="52"/>
          <w:szCs w:val="52"/>
        </w:rPr>
      </w:pPr>
    </w:p>
    <w:p w14:paraId="04FD823C" w14:textId="77777777" w:rsidR="00AC50DE" w:rsidRPr="00AC50DE" w:rsidRDefault="00AC50DE" w:rsidP="001636BB">
      <w:pPr>
        <w:tabs>
          <w:tab w:val="left" w:pos="3990"/>
        </w:tabs>
        <w:spacing w:line="240" w:lineRule="auto"/>
        <w:jc w:val="center"/>
        <w:rPr>
          <w:rFonts w:ascii="Times New Roman" w:hAnsi="Times New Roman" w:cs="Times New Roman"/>
          <w:b/>
          <w:bCs/>
          <w:sz w:val="52"/>
          <w:szCs w:val="52"/>
        </w:rPr>
      </w:pPr>
    </w:p>
    <w:p w14:paraId="3C88AB00"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563708D5"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6C2C7290" w14:textId="18A001FA" w:rsidR="00AC50DE" w:rsidRDefault="00AC50DE" w:rsidP="001636BB">
      <w:pPr>
        <w:tabs>
          <w:tab w:val="left" w:pos="399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Prepared by: Atif Ali, Cooper Pyle, and Addison Molinaro</w:t>
      </w:r>
    </w:p>
    <w:p w14:paraId="62034A60"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1ABB698B"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25BD8876"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0140289E"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0BE64993"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6F0A1445"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712E75B2"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4D349AD9"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1218B6B3"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16F35A35"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57478CCF"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4E8F530A"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7E9959C3"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3F22AE55"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3FCA109C"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0A118423" w14:textId="77777777" w:rsidR="00AC50DE" w:rsidRDefault="00AC50DE" w:rsidP="001636BB">
      <w:pPr>
        <w:tabs>
          <w:tab w:val="left" w:pos="3990"/>
        </w:tabs>
        <w:spacing w:line="240" w:lineRule="auto"/>
        <w:jc w:val="both"/>
        <w:rPr>
          <w:rFonts w:ascii="Times New Roman" w:hAnsi="Times New Roman" w:cs="Times New Roman"/>
          <w:b/>
          <w:bCs/>
          <w:sz w:val="24"/>
          <w:szCs w:val="24"/>
        </w:rPr>
      </w:pPr>
    </w:p>
    <w:sdt>
      <w:sdtPr>
        <w:rPr>
          <w:rFonts w:asciiTheme="minorHAnsi" w:eastAsiaTheme="minorHAnsi" w:hAnsiTheme="minorHAnsi" w:cstheme="minorBidi"/>
          <w:color w:val="auto"/>
          <w:sz w:val="22"/>
          <w:szCs w:val="22"/>
        </w:rPr>
        <w:id w:val="337742425"/>
        <w:docPartObj>
          <w:docPartGallery w:val="Table of Contents"/>
          <w:docPartUnique/>
        </w:docPartObj>
      </w:sdtPr>
      <w:sdtEndPr>
        <w:rPr>
          <w:b/>
          <w:bCs/>
          <w:noProof/>
        </w:rPr>
      </w:sdtEndPr>
      <w:sdtContent>
        <w:p w14:paraId="7FF8B34A" w14:textId="4CB65613" w:rsidR="00170EA5" w:rsidRPr="00D05EB4" w:rsidRDefault="00170EA5" w:rsidP="001636BB">
          <w:pPr>
            <w:pStyle w:val="TOCHeading"/>
            <w:spacing w:line="240" w:lineRule="auto"/>
            <w:rPr>
              <w:rFonts w:ascii="Times New Roman" w:hAnsi="Times New Roman" w:cs="Times New Roman"/>
              <w:b/>
              <w:bCs/>
              <w:color w:val="385623" w:themeColor="accent6" w:themeShade="80"/>
            </w:rPr>
          </w:pPr>
          <w:r w:rsidRPr="00D05EB4">
            <w:rPr>
              <w:rFonts w:ascii="Times New Roman" w:hAnsi="Times New Roman" w:cs="Times New Roman"/>
              <w:b/>
              <w:bCs/>
              <w:color w:val="385623" w:themeColor="accent6" w:themeShade="80"/>
            </w:rPr>
            <w:t>Table of Contents</w:t>
          </w:r>
        </w:p>
        <w:p w14:paraId="10C35C7D" w14:textId="050C3B4B" w:rsidR="00170EA5" w:rsidRPr="00D05EB4" w:rsidRDefault="00170EA5" w:rsidP="001636BB">
          <w:pPr>
            <w:pStyle w:val="TOC1"/>
            <w:tabs>
              <w:tab w:val="right" w:leader="dot" w:pos="9350"/>
            </w:tabs>
            <w:spacing w:line="240" w:lineRule="auto"/>
            <w:rPr>
              <w:rFonts w:ascii="Times New Roman" w:hAnsi="Times New Roman"/>
              <w:noProof/>
            </w:rPr>
          </w:pPr>
          <w:r w:rsidRPr="00D05EB4">
            <w:rPr>
              <w:rFonts w:ascii="Times New Roman" w:hAnsi="Times New Roman"/>
            </w:rPr>
            <w:fldChar w:fldCharType="begin"/>
          </w:r>
          <w:r w:rsidRPr="00D05EB4">
            <w:rPr>
              <w:rFonts w:ascii="Times New Roman" w:hAnsi="Times New Roman"/>
            </w:rPr>
            <w:instrText xml:space="preserve"> TOC \o "1-3" \h \z \u </w:instrText>
          </w:r>
          <w:r w:rsidRPr="00D05EB4">
            <w:rPr>
              <w:rFonts w:ascii="Times New Roman" w:hAnsi="Times New Roman"/>
            </w:rPr>
            <w:fldChar w:fldCharType="separate"/>
          </w:r>
          <w:hyperlink w:anchor="_Toc71547918" w:history="1">
            <w:r w:rsidRPr="00D05EB4">
              <w:rPr>
                <w:rStyle w:val="Hyperlink"/>
                <w:rFonts w:ascii="Times New Roman" w:hAnsi="Times New Roman"/>
                <w:noProof/>
              </w:rPr>
              <w:t>Acknowledgments</w:t>
            </w:r>
            <w:r w:rsidRPr="00D05EB4">
              <w:rPr>
                <w:rFonts w:ascii="Times New Roman" w:hAnsi="Times New Roman"/>
                <w:noProof/>
                <w:webHidden/>
              </w:rPr>
              <w:tab/>
            </w:r>
            <w:r w:rsidRPr="00D05EB4">
              <w:rPr>
                <w:rFonts w:ascii="Times New Roman" w:hAnsi="Times New Roman"/>
                <w:noProof/>
                <w:webHidden/>
              </w:rPr>
              <w:fldChar w:fldCharType="begin"/>
            </w:r>
            <w:r w:rsidRPr="00D05EB4">
              <w:rPr>
                <w:rFonts w:ascii="Times New Roman" w:hAnsi="Times New Roman"/>
                <w:noProof/>
                <w:webHidden/>
              </w:rPr>
              <w:instrText xml:space="preserve"> PAGEREF _Toc71547918 \h </w:instrText>
            </w:r>
            <w:r w:rsidRPr="00D05EB4">
              <w:rPr>
                <w:rFonts w:ascii="Times New Roman" w:hAnsi="Times New Roman"/>
                <w:noProof/>
                <w:webHidden/>
              </w:rPr>
            </w:r>
            <w:r w:rsidRPr="00D05EB4">
              <w:rPr>
                <w:rFonts w:ascii="Times New Roman" w:hAnsi="Times New Roman"/>
                <w:noProof/>
                <w:webHidden/>
              </w:rPr>
              <w:fldChar w:fldCharType="separate"/>
            </w:r>
            <w:r w:rsidR="002A2133">
              <w:rPr>
                <w:rFonts w:ascii="Times New Roman" w:hAnsi="Times New Roman"/>
                <w:noProof/>
                <w:webHidden/>
              </w:rPr>
              <w:t>3</w:t>
            </w:r>
            <w:r w:rsidRPr="00D05EB4">
              <w:rPr>
                <w:rFonts w:ascii="Times New Roman" w:hAnsi="Times New Roman"/>
                <w:noProof/>
                <w:webHidden/>
              </w:rPr>
              <w:fldChar w:fldCharType="end"/>
            </w:r>
          </w:hyperlink>
        </w:p>
        <w:p w14:paraId="31BFF231" w14:textId="06029298" w:rsidR="00170EA5" w:rsidRPr="00D05EB4" w:rsidRDefault="001542B1" w:rsidP="001636BB">
          <w:pPr>
            <w:pStyle w:val="TOC1"/>
            <w:tabs>
              <w:tab w:val="right" w:leader="dot" w:pos="9350"/>
            </w:tabs>
            <w:spacing w:line="240" w:lineRule="auto"/>
            <w:rPr>
              <w:rFonts w:ascii="Times New Roman" w:hAnsi="Times New Roman"/>
              <w:noProof/>
            </w:rPr>
          </w:pPr>
          <w:hyperlink w:anchor="_Toc71547919" w:history="1">
            <w:r w:rsidR="00170EA5" w:rsidRPr="00D05EB4">
              <w:rPr>
                <w:rStyle w:val="Hyperlink"/>
                <w:rFonts w:ascii="Times New Roman" w:hAnsi="Times New Roman"/>
                <w:noProof/>
              </w:rPr>
              <w:t>Climate Smart Communities Certification Program</w:t>
            </w:r>
            <w:r w:rsidR="00170EA5" w:rsidRPr="00D05EB4">
              <w:rPr>
                <w:rFonts w:ascii="Times New Roman" w:hAnsi="Times New Roman"/>
                <w:noProof/>
                <w:webHidden/>
              </w:rPr>
              <w:tab/>
            </w:r>
            <w:r w:rsidR="00170EA5" w:rsidRPr="00D05EB4">
              <w:rPr>
                <w:rFonts w:ascii="Times New Roman" w:hAnsi="Times New Roman"/>
                <w:noProof/>
                <w:webHidden/>
              </w:rPr>
              <w:fldChar w:fldCharType="begin"/>
            </w:r>
            <w:r w:rsidR="00170EA5" w:rsidRPr="00D05EB4">
              <w:rPr>
                <w:rFonts w:ascii="Times New Roman" w:hAnsi="Times New Roman"/>
                <w:noProof/>
                <w:webHidden/>
              </w:rPr>
              <w:instrText xml:space="preserve"> PAGEREF _Toc71547919 \h </w:instrText>
            </w:r>
            <w:r w:rsidR="00170EA5" w:rsidRPr="00D05EB4">
              <w:rPr>
                <w:rFonts w:ascii="Times New Roman" w:hAnsi="Times New Roman"/>
                <w:noProof/>
                <w:webHidden/>
              </w:rPr>
            </w:r>
            <w:r w:rsidR="00170EA5" w:rsidRPr="00D05EB4">
              <w:rPr>
                <w:rFonts w:ascii="Times New Roman" w:hAnsi="Times New Roman"/>
                <w:noProof/>
                <w:webHidden/>
              </w:rPr>
              <w:fldChar w:fldCharType="separate"/>
            </w:r>
            <w:r w:rsidR="002A2133">
              <w:rPr>
                <w:rFonts w:ascii="Times New Roman" w:hAnsi="Times New Roman"/>
                <w:noProof/>
                <w:webHidden/>
              </w:rPr>
              <w:t>4</w:t>
            </w:r>
            <w:r w:rsidR="00170EA5" w:rsidRPr="00D05EB4">
              <w:rPr>
                <w:rFonts w:ascii="Times New Roman" w:hAnsi="Times New Roman"/>
                <w:noProof/>
                <w:webHidden/>
              </w:rPr>
              <w:fldChar w:fldCharType="end"/>
            </w:r>
          </w:hyperlink>
        </w:p>
        <w:p w14:paraId="2BBAFFEB" w14:textId="48CFBCFF" w:rsidR="00170EA5" w:rsidRPr="00D05EB4" w:rsidRDefault="001542B1" w:rsidP="001636BB">
          <w:pPr>
            <w:pStyle w:val="TOC1"/>
            <w:tabs>
              <w:tab w:val="right" w:leader="dot" w:pos="9350"/>
            </w:tabs>
            <w:spacing w:line="240" w:lineRule="auto"/>
            <w:rPr>
              <w:rFonts w:ascii="Times New Roman" w:hAnsi="Times New Roman"/>
              <w:noProof/>
            </w:rPr>
          </w:pPr>
          <w:hyperlink w:anchor="_Toc71547920" w:history="1">
            <w:r w:rsidR="00170EA5" w:rsidRPr="00D05EB4">
              <w:rPr>
                <w:rStyle w:val="Hyperlink"/>
                <w:rFonts w:ascii="Times New Roman" w:hAnsi="Times New Roman"/>
                <w:noProof/>
              </w:rPr>
              <w:t>Background and Purpose</w:t>
            </w:r>
            <w:r w:rsidR="00170EA5" w:rsidRPr="00D05EB4">
              <w:rPr>
                <w:rFonts w:ascii="Times New Roman" w:hAnsi="Times New Roman"/>
                <w:noProof/>
                <w:webHidden/>
              </w:rPr>
              <w:tab/>
            </w:r>
            <w:r w:rsidR="00170EA5" w:rsidRPr="00D05EB4">
              <w:rPr>
                <w:rFonts w:ascii="Times New Roman" w:hAnsi="Times New Roman"/>
                <w:noProof/>
                <w:webHidden/>
              </w:rPr>
              <w:fldChar w:fldCharType="begin"/>
            </w:r>
            <w:r w:rsidR="00170EA5" w:rsidRPr="00D05EB4">
              <w:rPr>
                <w:rFonts w:ascii="Times New Roman" w:hAnsi="Times New Roman"/>
                <w:noProof/>
                <w:webHidden/>
              </w:rPr>
              <w:instrText xml:space="preserve"> PAGEREF _Toc71547920 \h </w:instrText>
            </w:r>
            <w:r w:rsidR="00170EA5" w:rsidRPr="00D05EB4">
              <w:rPr>
                <w:rFonts w:ascii="Times New Roman" w:hAnsi="Times New Roman"/>
                <w:noProof/>
                <w:webHidden/>
              </w:rPr>
            </w:r>
            <w:r w:rsidR="00170EA5" w:rsidRPr="00D05EB4">
              <w:rPr>
                <w:rFonts w:ascii="Times New Roman" w:hAnsi="Times New Roman"/>
                <w:noProof/>
                <w:webHidden/>
              </w:rPr>
              <w:fldChar w:fldCharType="separate"/>
            </w:r>
            <w:r w:rsidR="002A2133">
              <w:rPr>
                <w:rFonts w:ascii="Times New Roman" w:hAnsi="Times New Roman"/>
                <w:noProof/>
                <w:webHidden/>
              </w:rPr>
              <w:t>4</w:t>
            </w:r>
            <w:r w:rsidR="00170EA5" w:rsidRPr="00D05EB4">
              <w:rPr>
                <w:rFonts w:ascii="Times New Roman" w:hAnsi="Times New Roman"/>
                <w:noProof/>
                <w:webHidden/>
              </w:rPr>
              <w:fldChar w:fldCharType="end"/>
            </w:r>
          </w:hyperlink>
        </w:p>
        <w:p w14:paraId="3FF8A41A" w14:textId="5F769488" w:rsidR="00170EA5" w:rsidRPr="00D05EB4" w:rsidRDefault="001542B1" w:rsidP="001636BB">
          <w:pPr>
            <w:pStyle w:val="TOC2"/>
            <w:tabs>
              <w:tab w:val="right" w:leader="dot" w:pos="9350"/>
            </w:tabs>
            <w:spacing w:line="240" w:lineRule="auto"/>
            <w:rPr>
              <w:rFonts w:ascii="Times New Roman" w:hAnsi="Times New Roman"/>
              <w:noProof/>
            </w:rPr>
          </w:pPr>
          <w:hyperlink w:anchor="_Toc71547921" w:history="1">
            <w:r w:rsidR="00170EA5" w:rsidRPr="00D05EB4">
              <w:rPr>
                <w:rStyle w:val="Hyperlink"/>
                <w:rFonts w:ascii="Times New Roman" w:eastAsia="Times New Roman" w:hAnsi="Times New Roman"/>
                <w:noProof/>
              </w:rPr>
              <w:t>Town of Manlius</w:t>
            </w:r>
            <w:r w:rsidR="00170EA5" w:rsidRPr="00D05EB4">
              <w:rPr>
                <w:rFonts w:ascii="Times New Roman" w:hAnsi="Times New Roman"/>
                <w:noProof/>
                <w:webHidden/>
              </w:rPr>
              <w:tab/>
            </w:r>
            <w:r w:rsidR="00170EA5" w:rsidRPr="00D05EB4">
              <w:rPr>
                <w:rFonts w:ascii="Times New Roman" w:hAnsi="Times New Roman"/>
                <w:noProof/>
                <w:webHidden/>
              </w:rPr>
              <w:fldChar w:fldCharType="begin"/>
            </w:r>
            <w:r w:rsidR="00170EA5" w:rsidRPr="00D05EB4">
              <w:rPr>
                <w:rFonts w:ascii="Times New Roman" w:hAnsi="Times New Roman"/>
                <w:noProof/>
                <w:webHidden/>
              </w:rPr>
              <w:instrText xml:space="preserve"> PAGEREF _Toc71547921 \h </w:instrText>
            </w:r>
            <w:r w:rsidR="00170EA5" w:rsidRPr="00D05EB4">
              <w:rPr>
                <w:rFonts w:ascii="Times New Roman" w:hAnsi="Times New Roman"/>
                <w:noProof/>
                <w:webHidden/>
              </w:rPr>
            </w:r>
            <w:r w:rsidR="00170EA5" w:rsidRPr="00D05EB4">
              <w:rPr>
                <w:rFonts w:ascii="Times New Roman" w:hAnsi="Times New Roman"/>
                <w:noProof/>
                <w:webHidden/>
              </w:rPr>
              <w:fldChar w:fldCharType="separate"/>
            </w:r>
            <w:r w:rsidR="002A2133">
              <w:rPr>
                <w:rFonts w:ascii="Times New Roman" w:hAnsi="Times New Roman"/>
                <w:noProof/>
                <w:webHidden/>
              </w:rPr>
              <w:t>4</w:t>
            </w:r>
            <w:r w:rsidR="00170EA5" w:rsidRPr="00D05EB4">
              <w:rPr>
                <w:rFonts w:ascii="Times New Roman" w:hAnsi="Times New Roman"/>
                <w:noProof/>
                <w:webHidden/>
              </w:rPr>
              <w:fldChar w:fldCharType="end"/>
            </w:r>
          </w:hyperlink>
        </w:p>
        <w:p w14:paraId="40BC4918" w14:textId="5314A55B" w:rsidR="00170EA5" w:rsidRPr="00D05EB4" w:rsidRDefault="001542B1" w:rsidP="001636BB">
          <w:pPr>
            <w:pStyle w:val="TOC2"/>
            <w:tabs>
              <w:tab w:val="right" w:leader="dot" w:pos="9350"/>
            </w:tabs>
            <w:spacing w:line="240" w:lineRule="auto"/>
            <w:rPr>
              <w:rFonts w:ascii="Times New Roman" w:hAnsi="Times New Roman"/>
              <w:noProof/>
            </w:rPr>
          </w:pPr>
          <w:hyperlink w:anchor="_Toc71547922" w:history="1">
            <w:r w:rsidR="00170EA5" w:rsidRPr="00D05EB4">
              <w:rPr>
                <w:rStyle w:val="Hyperlink"/>
                <w:rFonts w:ascii="Times New Roman" w:hAnsi="Times New Roman"/>
                <w:noProof/>
              </w:rPr>
              <w:t>Climate Change and New York State</w:t>
            </w:r>
            <w:r w:rsidR="00170EA5" w:rsidRPr="00D05EB4">
              <w:rPr>
                <w:rFonts w:ascii="Times New Roman" w:hAnsi="Times New Roman"/>
                <w:noProof/>
                <w:webHidden/>
              </w:rPr>
              <w:tab/>
            </w:r>
            <w:r w:rsidR="00170EA5" w:rsidRPr="00D05EB4">
              <w:rPr>
                <w:rFonts w:ascii="Times New Roman" w:hAnsi="Times New Roman"/>
                <w:noProof/>
                <w:webHidden/>
              </w:rPr>
              <w:fldChar w:fldCharType="begin"/>
            </w:r>
            <w:r w:rsidR="00170EA5" w:rsidRPr="00D05EB4">
              <w:rPr>
                <w:rFonts w:ascii="Times New Roman" w:hAnsi="Times New Roman"/>
                <w:noProof/>
                <w:webHidden/>
              </w:rPr>
              <w:instrText xml:space="preserve"> PAGEREF _Toc71547922 \h </w:instrText>
            </w:r>
            <w:r w:rsidR="00170EA5" w:rsidRPr="00D05EB4">
              <w:rPr>
                <w:rFonts w:ascii="Times New Roman" w:hAnsi="Times New Roman"/>
                <w:noProof/>
                <w:webHidden/>
              </w:rPr>
            </w:r>
            <w:r w:rsidR="00170EA5" w:rsidRPr="00D05EB4">
              <w:rPr>
                <w:rFonts w:ascii="Times New Roman" w:hAnsi="Times New Roman"/>
                <w:noProof/>
                <w:webHidden/>
              </w:rPr>
              <w:fldChar w:fldCharType="separate"/>
            </w:r>
            <w:r w:rsidR="002A2133">
              <w:rPr>
                <w:rFonts w:ascii="Times New Roman" w:hAnsi="Times New Roman"/>
                <w:noProof/>
                <w:webHidden/>
              </w:rPr>
              <w:t>4</w:t>
            </w:r>
            <w:r w:rsidR="00170EA5" w:rsidRPr="00D05EB4">
              <w:rPr>
                <w:rFonts w:ascii="Times New Roman" w:hAnsi="Times New Roman"/>
                <w:noProof/>
                <w:webHidden/>
              </w:rPr>
              <w:fldChar w:fldCharType="end"/>
            </w:r>
          </w:hyperlink>
        </w:p>
        <w:p w14:paraId="124CFAC8" w14:textId="779E7251" w:rsidR="00170EA5" w:rsidRPr="00D05EB4" w:rsidRDefault="001542B1" w:rsidP="001636BB">
          <w:pPr>
            <w:pStyle w:val="TOC1"/>
            <w:tabs>
              <w:tab w:val="right" w:leader="dot" w:pos="9350"/>
            </w:tabs>
            <w:spacing w:line="240" w:lineRule="auto"/>
            <w:rPr>
              <w:rFonts w:ascii="Times New Roman" w:hAnsi="Times New Roman"/>
              <w:noProof/>
            </w:rPr>
          </w:pPr>
          <w:hyperlink w:anchor="_Toc71547923" w:history="1">
            <w:r w:rsidR="00170EA5" w:rsidRPr="00D05EB4">
              <w:rPr>
                <w:rStyle w:val="Hyperlink"/>
                <w:rFonts w:ascii="Times New Roman" w:hAnsi="Times New Roman"/>
                <w:noProof/>
              </w:rPr>
              <w:t>Methodology</w:t>
            </w:r>
            <w:r w:rsidR="00170EA5" w:rsidRPr="00D05EB4">
              <w:rPr>
                <w:rFonts w:ascii="Times New Roman" w:hAnsi="Times New Roman"/>
                <w:noProof/>
                <w:webHidden/>
              </w:rPr>
              <w:tab/>
            </w:r>
            <w:r w:rsidR="00170EA5" w:rsidRPr="00D05EB4">
              <w:rPr>
                <w:rFonts w:ascii="Times New Roman" w:hAnsi="Times New Roman"/>
                <w:noProof/>
                <w:webHidden/>
              </w:rPr>
              <w:fldChar w:fldCharType="begin"/>
            </w:r>
            <w:r w:rsidR="00170EA5" w:rsidRPr="00D05EB4">
              <w:rPr>
                <w:rFonts w:ascii="Times New Roman" w:hAnsi="Times New Roman"/>
                <w:noProof/>
                <w:webHidden/>
              </w:rPr>
              <w:instrText xml:space="preserve"> PAGEREF _Toc71547923 \h </w:instrText>
            </w:r>
            <w:r w:rsidR="00170EA5" w:rsidRPr="00D05EB4">
              <w:rPr>
                <w:rFonts w:ascii="Times New Roman" w:hAnsi="Times New Roman"/>
                <w:noProof/>
                <w:webHidden/>
              </w:rPr>
            </w:r>
            <w:r w:rsidR="00170EA5" w:rsidRPr="00D05EB4">
              <w:rPr>
                <w:rFonts w:ascii="Times New Roman" w:hAnsi="Times New Roman"/>
                <w:noProof/>
                <w:webHidden/>
              </w:rPr>
              <w:fldChar w:fldCharType="separate"/>
            </w:r>
            <w:r w:rsidR="002A2133">
              <w:rPr>
                <w:rFonts w:ascii="Times New Roman" w:hAnsi="Times New Roman"/>
                <w:noProof/>
                <w:webHidden/>
              </w:rPr>
              <w:t>5</w:t>
            </w:r>
            <w:r w:rsidR="00170EA5" w:rsidRPr="00D05EB4">
              <w:rPr>
                <w:rFonts w:ascii="Times New Roman" w:hAnsi="Times New Roman"/>
                <w:noProof/>
                <w:webHidden/>
              </w:rPr>
              <w:fldChar w:fldCharType="end"/>
            </w:r>
          </w:hyperlink>
        </w:p>
        <w:p w14:paraId="2E3D9510" w14:textId="20BF9A09" w:rsidR="00170EA5" w:rsidRPr="00D05EB4" w:rsidRDefault="001542B1" w:rsidP="001636BB">
          <w:pPr>
            <w:pStyle w:val="TOC2"/>
            <w:tabs>
              <w:tab w:val="right" w:leader="dot" w:pos="9350"/>
            </w:tabs>
            <w:spacing w:line="240" w:lineRule="auto"/>
            <w:rPr>
              <w:rFonts w:ascii="Times New Roman" w:hAnsi="Times New Roman"/>
              <w:noProof/>
            </w:rPr>
          </w:pPr>
          <w:hyperlink w:anchor="_Toc71547924" w:history="1">
            <w:r w:rsidR="00170EA5" w:rsidRPr="00D05EB4">
              <w:rPr>
                <w:rStyle w:val="Hyperlink"/>
                <w:rFonts w:ascii="Times New Roman" w:eastAsia="Times New Roman" w:hAnsi="Times New Roman"/>
                <w:noProof/>
              </w:rPr>
              <w:t>Excluded Data</w:t>
            </w:r>
            <w:r w:rsidR="00170EA5" w:rsidRPr="00D05EB4">
              <w:rPr>
                <w:rFonts w:ascii="Times New Roman" w:hAnsi="Times New Roman"/>
                <w:noProof/>
                <w:webHidden/>
              </w:rPr>
              <w:tab/>
            </w:r>
            <w:r w:rsidR="00170EA5" w:rsidRPr="00D05EB4">
              <w:rPr>
                <w:rFonts w:ascii="Times New Roman" w:hAnsi="Times New Roman"/>
                <w:noProof/>
                <w:webHidden/>
              </w:rPr>
              <w:fldChar w:fldCharType="begin"/>
            </w:r>
            <w:r w:rsidR="00170EA5" w:rsidRPr="00D05EB4">
              <w:rPr>
                <w:rFonts w:ascii="Times New Roman" w:hAnsi="Times New Roman"/>
                <w:noProof/>
                <w:webHidden/>
              </w:rPr>
              <w:instrText xml:space="preserve"> PAGEREF _Toc71547924 \h </w:instrText>
            </w:r>
            <w:r w:rsidR="00170EA5" w:rsidRPr="00D05EB4">
              <w:rPr>
                <w:rFonts w:ascii="Times New Roman" w:hAnsi="Times New Roman"/>
                <w:noProof/>
                <w:webHidden/>
              </w:rPr>
            </w:r>
            <w:r w:rsidR="00170EA5" w:rsidRPr="00D05EB4">
              <w:rPr>
                <w:rFonts w:ascii="Times New Roman" w:hAnsi="Times New Roman"/>
                <w:noProof/>
                <w:webHidden/>
              </w:rPr>
              <w:fldChar w:fldCharType="separate"/>
            </w:r>
            <w:r w:rsidR="002A2133">
              <w:rPr>
                <w:rFonts w:ascii="Times New Roman" w:hAnsi="Times New Roman"/>
                <w:noProof/>
                <w:webHidden/>
              </w:rPr>
              <w:t>7</w:t>
            </w:r>
            <w:r w:rsidR="00170EA5" w:rsidRPr="00D05EB4">
              <w:rPr>
                <w:rFonts w:ascii="Times New Roman" w:hAnsi="Times New Roman"/>
                <w:noProof/>
                <w:webHidden/>
              </w:rPr>
              <w:fldChar w:fldCharType="end"/>
            </w:r>
          </w:hyperlink>
        </w:p>
        <w:p w14:paraId="0B8C4874" w14:textId="1824C06E" w:rsidR="00170EA5" w:rsidRPr="00D05EB4" w:rsidRDefault="001542B1" w:rsidP="001636BB">
          <w:pPr>
            <w:pStyle w:val="TOC1"/>
            <w:tabs>
              <w:tab w:val="right" w:leader="dot" w:pos="9350"/>
            </w:tabs>
            <w:spacing w:line="240" w:lineRule="auto"/>
            <w:rPr>
              <w:rFonts w:ascii="Times New Roman" w:hAnsi="Times New Roman"/>
              <w:noProof/>
            </w:rPr>
          </w:pPr>
          <w:hyperlink w:anchor="_Toc71547925" w:history="1">
            <w:r w:rsidR="00170EA5" w:rsidRPr="00D05EB4">
              <w:rPr>
                <w:rStyle w:val="Hyperlink"/>
                <w:rFonts w:ascii="Times New Roman" w:hAnsi="Times New Roman"/>
                <w:noProof/>
              </w:rPr>
              <w:t>Emissions Sectors</w:t>
            </w:r>
            <w:r w:rsidR="00170EA5" w:rsidRPr="00D05EB4">
              <w:rPr>
                <w:rFonts w:ascii="Times New Roman" w:hAnsi="Times New Roman"/>
                <w:noProof/>
                <w:webHidden/>
              </w:rPr>
              <w:tab/>
            </w:r>
            <w:r w:rsidR="00170EA5" w:rsidRPr="00D05EB4">
              <w:rPr>
                <w:rFonts w:ascii="Times New Roman" w:hAnsi="Times New Roman"/>
                <w:noProof/>
                <w:webHidden/>
              </w:rPr>
              <w:fldChar w:fldCharType="begin"/>
            </w:r>
            <w:r w:rsidR="00170EA5" w:rsidRPr="00D05EB4">
              <w:rPr>
                <w:rFonts w:ascii="Times New Roman" w:hAnsi="Times New Roman"/>
                <w:noProof/>
                <w:webHidden/>
              </w:rPr>
              <w:instrText xml:space="preserve"> PAGEREF _Toc71547925 \h </w:instrText>
            </w:r>
            <w:r w:rsidR="00170EA5" w:rsidRPr="00D05EB4">
              <w:rPr>
                <w:rFonts w:ascii="Times New Roman" w:hAnsi="Times New Roman"/>
                <w:noProof/>
                <w:webHidden/>
              </w:rPr>
            </w:r>
            <w:r w:rsidR="00170EA5" w:rsidRPr="00D05EB4">
              <w:rPr>
                <w:rFonts w:ascii="Times New Roman" w:hAnsi="Times New Roman"/>
                <w:noProof/>
                <w:webHidden/>
              </w:rPr>
              <w:fldChar w:fldCharType="separate"/>
            </w:r>
            <w:r w:rsidR="002A2133">
              <w:rPr>
                <w:rFonts w:ascii="Times New Roman" w:hAnsi="Times New Roman"/>
                <w:noProof/>
                <w:webHidden/>
              </w:rPr>
              <w:t>8</w:t>
            </w:r>
            <w:r w:rsidR="00170EA5" w:rsidRPr="00D05EB4">
              <w:rPr>
                <w:rFonts w:ascii="Times New Roman" w:hAnsi="Times New Roman"/>
                <w:noProof/>
                <w:webHidden/>
              </w:rPr>
              <w:fldChar w:fldCharType="end"/>
            </w:r>
          </w:hyperlink>
        </w:p>
        <w:p w14:paraId="1FC4421D" w14:textId="216620B0" w:rsidR="00170EA5" w:rsidRPr="00D05EB4" w:rsidRDefault="001542B1" w:rsidP="001636BB">
          <w:pPr>
            <w:pStyle w:val="TOC2"/>
            <w:tabs>
              <w:tab w:val="right" w:leader="dot" w:pos="9350"/>
            </w:tabs>
            <w:spacing w:line="240" w:lineRule="auto"/>
            <w:rPr>
              <w:rFonts w:ascii="Times New Roman" w:hAnsi="Times New Roman"/>
              <w:noProof/>
            </w:rPr>
          </w:pPr>
          <w:hyperlink w:anchor="_Toc71547926" w:history="1">
            <w:r w:rsidR="00170EA5" w:rsidRPr="00D05EB4">
              <w:rPr>
                <w:rStyle w:val="Hyperlink"/>
                <w:rFonts w:ascii="Times New Roman" w:hAnsi="Times New Roman"/>
                <w:noProof/>
              </w:rPr>
              <w:t>Vehicle Fleet</w:t>
            </w:r>
            <w:r w:rsidR="00170EA5" w:rsidRPr="00D05EB4">
              <w:rPr>
                <w:rFonts w:ascii="Times New Roman" w:hAnsi="Times New Roman"/>
                <w:noProof/>
                <w:webHidden/>
              </w:rPr>
              <w:tab/>
            </w:r>
            <w:r w:rsidR="00170EA5" w:rsidRPr="00D05EB4">
              <w:rPr>
                <w:rFonts w:ascii="Times New Roman" w:hAnsi="Times New Roman"/>
                <w:noProof/>
                <w:webHidden/>
              </w:rPr>
              <w:fldChar w:fldCharType="begin"/>
            </w:r>
            <w:r w:rsidR="00170EA5" w:rsidRPr="00D05EB4">
              <w:rPr>
                <w:rFonts w:ascii="Times New Roman" w:hAnsi="Times New Roman"/>
                <w:noProof/>
                <w:webHidden/>
              </w:rPr>
              <w:instrText xml:space="preserve"> PAGEREF _Toc71547926 \h </w:instrText>
            </w:r>
            <w:r w:rsidR="00170EA5" w:rsidRPr="00D05EB4">
              <w:rPr>
                <w:rFonts w:ascii="Times New Roman" w:hAnsi="Times New Roman"/>
                <w:noProof/>
                <w:webHidden/>
              </w:rPr>
            </w:r>
            <w:r w:rsidR="00170EA5" w:rsidRPr="00D05EB4">
              <w:rPr>
                <w:rFonts w:ascii="Times New Roman" w:hAnsi="Times New Roman"/>
                <w:noProof/>
                <w:webHidden/>
              </w:rPr>
              <w:fldChar w:fldCharType="separate"/>
            </w:r>
            <w:r w:rsidR="002A2133">
              <w:rPr>
                <w:rFonts w:ascii="Times New Roman" w:hAnsi="Times New Roman"/>
                <w:noProof/>
                <w:webHidden/>
              </w:rPr>
              <w:t>8</w:t>
            </w:r>
            <w:r w:rsidR="00170EA5" w:rsidRPr="00D05EB4">
              <w:rPr>
                <w:rFonts w:ascii="Times New Roman" w:hAnsi="Times New Roman"/>
                <w:noProof/>
                <w:webHidden/>
              </w:rPr>
              <w:fldChar w:fldCharType="end"/>
            </w:r>
          </w:hyperlink>
        </w:p>
        <w:p w14:paraId="47292050" w14:textId="46961CA9" w:rsidR="00170EA5" w:rsidRPr="00D05EB4" w:rsidRDefault="001542B1" w:rsidP="001636BB">
          <w:pPr>
            <w:pStyle w:val="TOC2"/>
            <w:tabs>
              <w:tab w:val="right" w:leader="dot" w:pos="9350"/>
            </w:tabs>
            <w:spacing w:line="240" w:lineRule="auto"/>
            <w:rPr>
              <w:rFonts w:ascii="Times New Roman" w:hAnsi="Times New Roman"/>
              <w:noProof/>
            </w:rPr>
          </w:pPr>
          <w:hyperlink w:anchor="_Toc71547927" w:history="1">
            <w:r w:rsidR="00170EA5" w:rsidRPr="00D05EB4">
              <w:rPr>
                <w:rStyle w:val="Hyperlink"/>
                <w:rFonts w:ascii="Times New Roman" w:hAnsi="Times New Roman"/>
                <w:noProof/>
              </w:rPr>
              <w:t>Streetlights</w:t>
            </w:r>
            <w:r w:rsidR="00170EA5" w:rsidRPr="00D05EB4">
              <w:rPr>
                <w:rFonts w:ascii="Times New Roman" w:hAnsi="Times New Roman"/>
                <w:noProof/>
                <w:webHidden/>
              </w:rPr>
              <w:tab/>
            </w:r>
            <w:r w:rsidR="00170EA5" w:rsidRPr="00D05EB4">
              <w:rPr>
                <w:rFonts w:ascii="Times New Roman" w:hAnsi="Times New Roman"/>
                <w:noProof/>
                <w:webHidden/>
              </w:rPr>
              <w:fldChar w:fldCharType="begin"/>
            </w:r>
            <w:r w:rsidR="00170EA5" w:rsidRPr="00D05EB4">
              <w:rPr>
                <w:rFonts w:ascii="Times New Roman" w:hAnsi="Times New Roman"/>
                <w:noProof/>
                <w:webHidden/>
              </w:rPr>
              <w:instrText xml:space="preserve"> PAGEREF _Toc71547927 \h </w:instrText>
            </w:r>
            <w:r w:rsidR="00170EA5" w:rsidRPr="00D05EB4">
              <w:rPr>
                <w:rFonts w:ascii="Times New Roman" w:hAnsi="Times New Roman"/>
                <w:noProof/>
                <w:webHidden/>
              </w:rPr>
            </w:r>
            <w:r w:rsidR="00170EA5" w:rsidRPr="00D05EB4">
              <w:rPr>
                <w:rFonts w:ascii="Times New Roman" w:hAnsi="Times New Roman"/>
                <w:noProof/>
                <w:webHidden/>
              </w:rPr>
              <w:fldChar w:fldCharType="separate"/>
            </w:r>
            <w:r w:rsidR="002A2133">
              <w:rPr>
                <w:rFonts w:ascii="Times New Roman" w:hAnsi="Times New Roman"/>
                <w:noProof/>
                <w:webHidden/>
              </w:rPr>
              <w:t>9</w:t>
            </w:r>
            <w:r w:rsidR="00170EA5" w:rsidRPr="00D05EB4">
              <w:rPr>
                <w:rFonts w:ascii="Times New Roman" w:hAnsi="Times New Roman"/>
                <w:noProof/>
                <w:webHidden/>
              </w:rPr>
              <w:fldChar w:fldCharType="end"/>
            </w:r>
          </w:hyperlink>
        </w:p>
        <w:p w14:paraId="0FC9655F" w14:textId="43137C86" w:rsidR="00170EA5" w:rsidRPr="00D05EB4" w:rsidRDefault="001542B1" w:rsidP="001636BB">
          <w:pPr>
            <w:pStyle w:val="TOC2"/>
            <w:tabs>
              <w:tab w:val="right" w:leader="dot" w:pos="9350"/>
            </w:tabs>
            <w:spacing w:line="240" w:lineRule="auto"/>
            <w:rPr>
              <w:rFonts w:ascii="Times New Roman" w:hAnsi="Times New Roman"/>
              <w:noProof/>
            </w:rPr>
          </w:pPr>
          <w:hyperlink w:anchor="_Toc71547928" w:history="1">
            <w:r w:rsidR="00170EA5" w:rsidRPr="00D05EB4">
              <w:rPr>
                <w:rStyle w:val="Hyperlink"/>
                <w:rFonts w:ascii="Times New Roman" w:eastAsia="Times New Roman" w:hAnsi="Times New Roman"/>
                <w:noProof/>
              </w:rPr>
              <w:t>Buildings &amp; Facilities</w:t>
            </w:r>
            <w:r w:rsidR="00170EA5" w:rsidRPr="00D05EB4">
              <w:rPr>
                <w:rFonts w:ascii="Times New Roman" w:hAnsi="Times New Roman"/>
                <w:noProof/>
                <w:webHidden/>
              </w:rPr>
              <w:tab/>
            </w:r>
            <w:r w:rsidR="00170EA5" w:rsidRPr="00D05EB4">
              <w:rPr>
                <w:rFonts w:ascii="Times New Roman" w:hAnsi="Times New Roman"/>
                <w:noProof/>
                <w:webHidden/>
              </w:rPr>
              <w:fldChar w:fldCharType="begin"/>
            </w:r>
            <w:r w:rsidR="00170EA5" w:rsidRPr="00D05EB4">
              <w:rPr>
                <w:rFonts w:ascii="Times New Roman" w:hAnsi="Times New Roman"/>
                <w:noProof/>
                <w:webHidden/>
              </w:rPr>
              <w:instrText xml:space="preserve"> PAGEREF _Toc71547928 \h </w:instrText>
            </w:r>
            <w:r w:rsidR="00170EA5" w:rsidRPr="00D05EB4">
              <w:rPr>
                <w:rFonts w:ascii="Times New Roman" w:hAnsi="Times New Roman"/>
                <w:noProof/>
                <w:webHidden/>
              </w:rPr>
            </w:r>
            <w:r w:rsidR="00170EA5" w:rsidRPr="00D05EB4">
              <w:rPr>
                <w:rFonts w:ascii="Times New Roman" w:hAnsi="Times New Roman"/>
                <w:noProof/>
                <w:webHidden/>
              </w:rPr>
              <w:fldChar w:fldCharType="separate"/>
            </w:r>
            <w:r w:rsidR="002A2133">
              <w:rPr>
                <w:rFonts w:ascii="Times New Roman" w:hAnsi="Times New Roman"/>
                <w:noProof/>
                <w:webHidden/>
              </w:rPr>
              <w:t>10</w:t>
            </w:r>
            <w:r w:rsidR="00170EA5" w:rsidRPr="00D05EB4">
              <w:rPr>
                <w:rFonts w:ascii="Times New Roman" w:hAnsi="Times New Roman"/>
                <w:noProof/>
                <w:webHidden/>
              </w:rPr>
              <w:fldChar w:fldCharType="end"/>
            </w:r>
          </w:hyperlink>
        </w:p>
        <w:p w14:paraId="3C42ABDA" w14:textId="6A15940E" w:rsidR="00170EA5" w:rsidRPr="00D05EB4" w:rsidRDefault="001542B1" w:rsidP="001636BB">
          <w:pPr>
            <w:pStyle w:val="TOC1"/>
            <w:tabs>
              <w:tab w:val="right" w:leader="dot" w:pos="9350"/>
            </w:tabs>
            <w:spacing w:line="240" w:lineRule="auto"/>
            <w:rPr>
              <w:rFonts w:ascii="Times New Roman" w:hAnsi="Times New Roman"/>
              <w:noProof/>
            </w:rPr>
          </w:pPr>
          <w:hyperlink w:anchor="_Toc71547929" w:history="1">
            <w:r w:rsidR="00170EA5" w:rsidRPr="00D05EB4">
              <w:rPr>
                <w:rStyle w:val="Hyperlink"/>
                <w:rFonts w:ascii="Times New Roman" w:eastAsia="Times New Roman" w:hAnsi="Times New Roman"/>
                <w:noProof/>
              </w:rPr>
              <w:t>Discussion and Summary of Findings</w:t>
            </w:r>
            <w:r w:rsidR="00170EA5" w:rsidRPr="00D05EB4">
              <w:rPr>
                <w:rFonts w:ascii="Times New Roman" w:hAnsi="Times New Roman"/>
                <w:noProof/>
                <w:webHidden/>
              </w:rPr>
              <w:tab/>
            </w:r>
            <w:r w:rsidR="00170EA5" w:rsidRPr="00D05EB4">
              <w:rPr>
                <w:rFonts w:ascii="Times New Roman" w:hAnsi="Times New Roman"/>
                <w:noProof/>
                <w:webHidden/>
              </w:rPr>
              <w:fldChar w:fldCharType="begin"/>
            </w:r>
            <w:r w:rsidR="00170EA5" w:rsidRPr="00D05EB4">
              <w:rPr>
                <w:rFonts w:ascii="Times New Roman" w:hAnsi="Times New Roman"/>
                <w:noProof/>
                <w:webHidden/>
              </w:rPr>
              <w:instrText xml:space="preserve"> PAGEREF _Toc71547929 \h </w:instrText>
            </w:r>
            <w:r w:rsidR="00170EA5" w:rsidRPr="00D05EB4">
              <w:rPr>
                <w:rFonts w:ascii="Times New Roman" w:hAnsi="Times New Roman"/>
                <w:noProof/>
                <w:webHidden/>
              </w:rPr>
            </w:r>
            <w:r w:rsidR="00170EA5" w:rsidRPr="00D05EB4">
              <w:rPr>
                <w:rFonts w:ascii="Times New Roman" w:hAnsi="Times New Roman"/>
                <w:noProof/>
                <w:webHidden/>
              </w:rPr>
              <w:fldChar w:fldCharType="separate"/>
            </w:r>
            <w:r w:rsidR="002A2133">
              <w:rPr>
                <w:rFonts w:ascii="Times New Roman" w:hAnsi="Times New Roman"/>
                <w:noProof/>
                <w:webHidden/>
              </w:rPr>
              <w:t>11</w:t>
            </w:r>
            <w:r w:rsidR="00170EA5" w:rsidRPr="00D05EB4">
              <w:rPr>
                <w:rFonts w:ascii="Times New Roman" w:hAnsi="Times New Roman"/>
                <w:noProof/>
                <w:webHidden/>
              </w:rPr>
              <w:fldChar w:fldCharType="end"/>
            </w:r>
          </w:hyperlink>
        </w:p>
        <w:p w14:paraId="64C7A8D4" w14:textId="50D004F4" w:rsidR="00170EA5" w:rsidRPr="00D05EB4" w:rsidRDefault="001542B1" w:rsidP="001636BB">
          <w:pPr>
            <w:pStyle w:val="TOC1"/>
            <w:tabs>
              <w:tab w:val="right" w:leader="dot" w:pos="9350"/>
            </w:tabs>
            <w:spacing w:line="240" w:lineRule="auto"/>
            <w:rPr>
              <w:rFonts w:ascii="Times New Roman" w:hAnsi="Times New Roman"/>
              <w:noProof/>
            </w:rPr>
          </w:pPr>
          <w:hyperlink w:anchor="_Toc71547930" w:history="1">
            <w:r w:rsidR="00170EA5" w:rsidRPr="00D05EB4">
              <w:rPr>
                <w:rStyle w:val="Hyperlink"/>
                <w:rFonts w:ascii="Times New Roman" w:hAnsi="Times New Roman"/>
                <w:noProof/>
              </w:rPr>
              <w:t>Recommendations</w:t>
            </w:r>
            <w:r w:rsidR="00170EA5" w:rsidRPr="00D05EB4">
              <w:rPr>
                <w:rFonts w:ascii="Times New Roman" w:hAnsi="Times New Roman"/>
                <w:noProof/>
                <w:webHidden/>
              </w:rPr>
              <w:tab/>
            </w:r>
            <w:r w:rsidR="00170EA5" w:rsidRPr="00D05EB4">
              <w:rPr>
                <w:rFonts w:ascii="Times New Roman" w:hAnsi="Times New Roman"/>
                <w:noProof/>
                <w:webHidden/>
              </w:rPr>
              <w:fldChar w:fldCharType="begin"/>
            </w:r>
            <w:r w:rsidR="00170EA5" w:rsidRPr="00D05EB4">
              <w:rPr>
                <w:rFonts w:ascii="Times New Roman" w:hAnsi="Times New Roman"/>
                <w:noProof/>
                <w:webHidden/>
              </w:rPr>
              <w:instrText xml:space="preserve"> PAGEREF _Toc71547930 \h </w:instrText>
            </w:r>
            <w:r w:rsidR="00170EA5" w:rsidRPr="00D05EB4">
              <w:rPr>
                <w:rFonts w:ascii="Times New Roman" w:hAnsi="Times New Roman"/>
                <w:noProof/>
                <w:webHidden/>
              </w:rPr>
            </w:r>
            <w:r w:rsidR="00170EA5" w:rsidRPr="00D05EB4">
              <w:rPr>
                <w:rFonts w:ascii="Times New Roman" w:hAnsi="Times New Roman"/>
                <w:noProof/>
                <w:webHidden/>
              </w:rPr>
              <w:fldChar w:fldCharType="separate"/>
            </w:r>
            <w:r w:rsidR="002A2133">
              <w:rPr>
                <w:rFonts w:ascii="Times New Roman" w:hAnsi="Times New Roman"/>
                <w:noProof/>
                <w:webHidden/>
              </w:rPr>
              <w:t>11</w:t>
            </w:r>
            <w:r w:rsidR="00170EA5" w:rsidRPr="00D05EB4">
              <w:rPr>
                <w:rFonts w:ascii="Times New Roman" w:hAnsi="Times New Roman"/>
                <w:noProof/>
                <w:webHidden/>
              </w:rPr>
              <w:fldChar w:fldCharType="end"/>
            </w:r>
          </w:hyperlink>
        </w:p>
        <w:p w14:paraId="5AA4B6AA" w14:textId="54AB5FA1" w:rsidR="00170EA5" w:rsidRPr="00D05EB4" w:rsidRDefault="001542B1" w:rsidP="001636BB">
          <w:pPr>
            <w:pStyle w:val="TOC1"/>
            <w:tabs>
              <w:tab w:val="right" w:leader="dot" w:pos="9350"/>
            </w:tabs>
            <w:spacing w:line="240" w:lineRule="auto"/>
            <w:rPr>
              <w:rFonts w:ascii="Times New Roman" w:hAnsi="Times New Roman"/>
              <w:noProof/>
            </w:rPr>
          </w:pPr>
          <w:hyperlink w:anchor="_Toc71547931" w:history="1">
            <w:r w:rsidR="00170EA5" w:rsidRPr="00D05EB4">
              <w:rPr>
                <w:rStyle w:val="Hyperlink"/>
                <w:rFonts w:ascii="Times New Roman" w:hAnsi="Times New Roman"/>
                <w:noProof/>
              </w:rPr>
              <w:t>Conclusion</w:t>
            </w:r>
            <w:r w:rsidR="00170EA5" w:rsidRPr="00D05EB4">
              <w:rPr>
                <w:rFonts w:ascii="Times New Roman" w:hAnsi="Times New Roman"/>
                <w:noProof/>
                <w:webHidden/>
              </w:rPr>
              <w:tab/>
            </w:r>
            <w:r w:rsidR="00170EA5" w:rsidRPr="00D05EB4">
              <w:rPr>
                <w:rFonts w:ascii="Times New Roman" w:hAnsi="Times New Roman"/>
                <w:noProof/>
                <w:webHidden/>
              </w:rPr>
              <w:fldChar w:fldCharType="begin"/>
            </w:r>
            <w:r w:rsidR="00170EA5" w:rsidRPr="00D05EB4">
              <w:rPr>
                <w:rFonts w:ascii="Times New Roman" w:hAnsi="Times New Roman"/>
                <w:noProof/>
                <w:webHidden/>
              </w:rPr>
              <w:instrText xml:space="preserve"> PAGEREF _Toc71547931 \h </w:instrText>
            </w:r>
            <w:r w:rsidR="00170EA5" w:rsidRPr="00D05EB4">
              <w:rPr>
                <w:rFonts w:ascii="Times New Roman" w:hAnsi="Times New Roman"/>
                <w:noProof/>
                <w:webHidden/>
              </w:rPr>
            </w:r>
            <w:r w:rsidR="00170EA5" w:rsidRPr="00D05EB4">
              <w:rPr>
                <w:rFonts w:ascii="Times New Roman" w:hAnsi="Times New Roman"/>
                <w:noProof/>
                <w:webHidden/>
              </w:rPr>
              <w:fldChar w:fldCharType="separate"/>
            </w:r>
            <w:r w:rsidR="002A2133">
              <w:rPr>
                <w:rFonts w:ascii="Times New Roman" w:hAnsi="Times New Roman"/>
                <w:noProof/>
                <w:webHidden/>
              </w:rPr>
              <w:t>12</w:t>
            </w:r>
            <w:r w:rsidR="00170EA5" w:rsidRPr="00D05EB4">
              <w:rPr>
                <w:rFonts w:ascii="Times New Roman" w:hAnsi="Times New Roman"/>
                <w:noProof/>
                <w:webHidden/>
              </w:rPr>
              <w:fldChar w:fldCharType="end"/>
            </w:r>
          </w:hyperlink>
        </w:p>
        <w:p w14:paraId="03030F2E" w14:textId="6452849D" w:rsidR="00170EA5" w:rsidRDefault="00170EA5" w:rsidP="001636BB">
          <w:pPr>
            <w:spacing w:line="240" w:lineRule="auto"/>
          </w:pPr>
          <w:r w:rsidRPr="00D05EB4">
            <w:rPr>
              <w:rFonts w:ascii="Times New Roman" w:hAnsi="Times New Roman" w:cs="Times New Roman"/>
              <w:b/>
              <w:bCs/>
              <w:noProof/>
            </w:rPr>
            <w:fldChar w:fldCharType="end"/>
          </w:r>
        </w:p>
      </w:sdtContent>
    </w:sdt>
    <w:p w14:paraId="46A51882" w14:textId="1DC9260E" w:rsidR="0075195B" w:rsidRPr="0075195B" w:rsidRDefault="0075195B" w:rsidP="001636BB">
      <w:pPr>
        <w:tabs>
          <w:tab w:val="left" w:pos="3990"/>
        </w:tabs>
        <w:spacing w:line="240" w:lineRule="auto"/>
        <w:rPr>
          <w:rFonts w:ascii="Times New Roman" w:hAnsi="Times New Roman" w:cs="Times New Roman"/>
          <w:b/>
          <w:bCs/>
          <w:sz w:val="24"/>
          <w:szCs w:val="24"/>
        </w:rPr>
      </w:pPr>
    </w:p>
    <w:p w14:paraId="4AFCFA08" w14:textId="46D5A0B6" w:rsidR="006360B4" w:rsidRPr="006360B4" w:rsidRDefault="006360B4" w:rsidP="001636BB">
      <w:pPr>
        <w:tabs>
          <w:tab w:val="left" w:pos="3990"/>
        </w:tabs>
        <w:spacing w:line="240" w:lineRule="auto"/>
        <w:jc w:val="both"/>
        <w:rPr>
          <w:rFonts w:ascii="Times New Roman" w:hAnsi="Times New Roman" w:cs="Times New Roman"/>
          <w:b/>
          <w:bCs/>
          <w:sz w:val="24"/>
          <w:szCs w:val="24"/>
        </w:rPr>
      </w:pPr>
    </w:p>
    <w:p w14:paraId="078F459B" w14:textId="1E6E115E" w:rsidR="00AC50DE" w:rsidRDefault="00AC50DE" w:rsidP="001636BB">
      <w:pPr>
        <w:tabs>
          <w:tab w:val="left" w:pos="3990"/>
        </w:tabs>
        <w:spacing w:line="240" w:lineRule="auto"/>
        <w:jc w:val="both"/>
        <w:rPr>
          <w:rFonts w:ascii="Times New Roman" w:hAnsi="Times New Roman" w:cs="Times New Roman"/>
          <w:b/>
          <w:bCs/>
          <w:sz w:val="24"/>
          <w:szCs w:val="24"/>
        </w:rPr>
      </w:pPr>
    </w:p>
    <w:p w14:paraId="7F9D169D" w14:textId="48799293" w:rsidR="00AC50DE" w:rsidRDefault="00AC50DE" w:rsidP="001636BB">
      <w:pPr>
        <w:tabs>
          <w:tab w:val="left" w:pos="3990"/>
        </w:tabs>
        <w:spacing w:line="240" w:lineRule="auto"/>
        <w:jc w:val="both"/>
        <w:rPr>
          <w:rFonts w:ascii="Times New Roman" w:hAnsi="Times New Roman" w:cs="Times New Roman"/>
          <w:b/>
          <w:bCs/>
          <w:sz w:val="24"/>
          <w:szCs w:val="24"/>
        </w:rPr>
      </w:pPr>
    </w:p>
    <w:p w14:paraId="7AF8EFE2" w14:textId="3B17B32D" w:rsidR="00AC50DE" w:rsidRDefault="00AC50DE" w:rsidP="001636BB">
      <w:pPr>
        <w:tabs>
          <w:tab w:val="left" w:pos="3990"/>
        </w:tabs>
        <w:spacing w:line="240" w:lineRule="auto"/>
        <w:jc w:val="both"/>
        <w:rPr>
          <w:rFonts w:ascii="Times New Roman" w:hAnsi="Times New Roman" w:cs="Times New Roman"/>
          <w:b/>
          <w:bCs/>
          <w:sz w:val="24"/>
          <w:szCs w:val="24"/>
        </w:rPr>
      </w:pPr>
    </w:p>
    <w:p w14:paraId="1741ABC7" w14:textId="4D67B062" w:rsidR="00AC50DE" w:rsidRDefault="00AC50DE" w:rsidP="001636BB">
      <w:pPr>
        <w:tabs>
          <w:tab w:val="left" w:pos="3990"/>
        </w:tabs>
        <w:spacing w:line="240" w:lineRule="auto"/>
        <w:jc w:val="both"/>
        <w:rPr>
          <w:rFonts w:ascii="Times New Roman" w:hAnsi="Times New Roman" w:cs="Times New Roman"/>
          <w:b/>
          <w:bCs/>
          <w:sz w:val="24"/>
          <w:szCs w:val="24"/>
        </w:rPr>
      </w:pPr>
    </w:p>
    <w:p w14:paraId="1DE67732" w14:textId="2D77799B" w:rsidR="00AC50DE" w:rsidRDefault="00AC50DE" w:rsidP="001636BB">
      <w:pPr>
        <w:tabs>
          <w:tab w:val="left" w:pos="3990"/>
        </w:tabs>
        <w:spacing w:line="240" w:lineRule="auto"/>
        <w:jc w:val="both"/>
        <w:rPr>
          <w:rFonts w:ascii="Times New Roman" w:hAnsi="Times New Roman" w:cs="Times New Roman"/>
          <w:b/>
          <w:bCs/>
          <w:sz w:val="24"/>
          <w:szCs w:val="24"/>
        </w:rPr>
      </w:pPr>
    </w:p>
    <w:p w14:paraId="5B80EAE0" w14:textId="7BBF7CB9" w:rsidR="00AC50DE" w:rsidRDefault="00AC50DE" w:rsidP="001636BB">
      <w:pPr>
        <w:tabs>
          <w:tab w:val="left" w:pos="3990"/>
        </w:tabs>
        <w:spacing w:line="240" w:lineRule="auto"/>
        <w:jc w:val="both"/>
        <w:rPr>
          <w:rFonts w:ascii="Times New Roman" w:hAnsi="Times New Roman" w:cs="Times New Roman"/>
          <w:b/>
          <w:bCs/>
          <w:sz w:val="24"/>
          <w:szCs w:val="24"/>
        </w:rPr>
      </w:pPr>
    </w:p>
    <w:p w14:paraId="7C20ADE1" w14:textId="0CBB8781" w:rsidR="00AC50DE" w:rsidRDefault="00AC50DE" w:rsidP="001636BB">
      <w:pPr>
        <w:tabs>
          <w:tab w:val="left" w:pos="3990"/>
        </w:tabs>
        <w:spacing w:line="240" w:lineRule="auto"/>
        <w:jc w:val="both"/>
        <w:rPr>
          <w:rFonts w:ascii="Times New Roman" w:hAnsi="Times New Roman" w:cs="Times New Roman"/>
          <w:b/>
          <w:bCs/>
          <w:sz w:val="24"/>
          <w:szCs w:val="24"/>
        </w:rPr>
      </w:pPr>
    </w:p>
    <w:p w14:paraId="114A0F99" w14:textId="614508BE" w:rsidR="00AC50DE" w:rsidRDefault="00AC50DE" w:rsidP="001636BB">
      <w:pPr>
        <w:tabs>
          <w:tab w:val="left" w:pos="3990"/>
        </w:tabs>
        <w:spacing w:line="240" w:lineRule="auto"/>
        <w:jc w:val="both"/>
        <w:rPr>
          <w:rFonts w:ascii="Times New Roman" w:hAnsi="Times New Roman" w:cs="Times New Roman"/>
          <w:b/>
          <w:bCs/>
          <w:sz w:val="24"/>
          <w:szCs w:val="24"/>
        </w:rPr>
      </w:pPr>
    </w:p>
    <w:p w14:paraId="306D48A7" w14:textId="6B88EA29" w:rsidR="00AC50DE" w:rsidRDefault="00AC50DE" w:rsidP="001636BB">
      <w:pPr>
        <w:tabs>
          <w:tab w:val="left" w:pos="3990"/>
        </w:tabs>
        <w:spacing w:line="240" w:lineRule="auto"/>
        <w:jc w:val="both"/>
        <w:rPr>
          <w:rFonts w:ascii="Times New Roman" w:hAnsi="Times New Roman" w:cs="Times New Roman"/>
          <w:b/>
          <w:bCs/>
          <w:sz w:val="24"/>
          <w:szCs w:val="24"/>
        </w:rPr>
      </w:pPr>
    </w:p>
    <w:p w14:paraId="40178DFF" w14:textId="62AF58AF" w:rsidR="00AC50DE" w:rsidRDefault="00AC50DE" w:rsidP="001636BB">
      <w:pPr>
        <w:tabs>
          <w:tab w:val="left" w:pos="3990"/>
        </w:tabs>
        <w:spacing w:line="240" w:lineRule="auto"/>
        <w:jc w:val="both"/>
        <w:rPr>
          <w:rFonts w:ascii="Times New Roman" w:hAnsi="Times New Roman" w:cs="Times New Roman"/>
          <w:b/>
          <w:bCs/>
          <w:sz w:val="24"/>
          <w:szCs w:val="24"/>
        </w:rPr>
      </w:pPr>
    </w:p>
    <w:p w14:paraId="284599CD" w14:textId="77777777" w:rsidR="00AC50DE" w:rsidRDefault="00AC50DE" w:rsidP="001636BB">
      <w:pPr>
        <w:tabs>
          <w:tab w:val="left" w:pos="3990"/>
        </w:tabs>
        <w:spacing w:line="240" w:lineRule="auto"/>
        <w:jc w:val="both"/>
        <w:rPr>
          <w:rFonts w:ascii="Times New Roman" w:hAnsi="Times New Roman" w:cs="Times New Roman"/>
          <w:b/>
          <w:bCs/>
          <w:sz w:val="24"/>
          <w:szCs w:val="24"/>
        </w:rPr>
      </w:pPr>
    </w:p>
    <w:p w14:paraId="6D7BF772" w14:textId="77777777" w:rsidR="00061D50" w:rsidRDefault="00061D50" w:rsidP="001636BB">
      <w:pPr>
        <w:pStyle w:val="Heading1"/>
        <w:spacing w:line="240" w:lineRule="auto"/>
        <w:rPr>
          <w:rFonts w:ascii="Times New Roman" w:hAnsi="Times New Roman" w:cs="Times New Roman"/>
          <w:b/>
          <w:bCs/>
          <w:color w:val="385623" w:themeColor="accent6" w:themeShade="80"/>
        </w:rPr>
      </w:pPr>
      <w:bookmarkStart w:id="0" w:name="_Toc71547918"/>
    </w:p>
    <w:p w14:paraId="1234D31A" w14:textId="7EFDE660" w:rsidR="0075195B" w:rsidRPr="00D05EB4" w:rsidRDefault="0075195B" w:rsidP="001636BB">
      <w:pPr>
        <w:pStyle w:val="Heading1"/>
        <w:spacing w:line="240" w:lineRule="auto"/>
        <w:rPr>
          <w:rFonts w:ascii="Times New Roman" w:hAnsi="Times New Roman" w:cs="Times New Roman"/>
          <w:b/>
          <w:bCs/>
          <w:color w:val="385623" w:themeColor="accent6" w:themeShade="80"/>
        </w:rPr>
      </w:pPr>
      <w:r w:rsidRPr="00D05EB4">
        <w:rPr>
          <w:rFonts w:ascii="Times New Roman" w:hAnsi="Times New Roman" w:cs="Times New Roman"/>
          <w:b/>
          <w:bCs/>
          <w:color w:val="385623" w:themeColor="accent6" w:themeShade="80"/>
        </w:rPr>
        <w:t>Acknowledgments</w:t>
      </w:r>
      <w:bookmarkEnd w:id="0"/>
    </w:p>
    <w:p w14:paraId="6040B3E2" w14:textId="0692281E" w:rsidR="0075195B" w:rsidRPr="00A01A68" w:rsidRDefault="008A3590" w:rsidP="001636BB">
      <w:pPr>
        <w:tabs>
          <w:tab w:val="left" w:pos="3990"/>
        </w:tabs>
        <w:spacing w:line="240" w:lineRule="auto"/>
        <w:rPr>
          <w:rFonts w:ascii="Times New Roman" w:hAnsi="Times New Roman" w:cs="Times New Roman"/>
          <w:sz w:val="24"/>
          <w:szCs w:val="24"/>
        </w:rPr>
      </w:pPr>
      <w:r w:rsidRPr="00A01A68">
        <w:rPr>
          <w:rFonts w:ascii="Times New Roman" w:hAnsi="Times New Roman" w:cs="Times New Roman"/>
          <w:sz w:val="24"/>
          <w:szCs w:val="24"/>
        </w:rPr>
        <w:t>Our team would like to acknowledge and thank the following people</w:t>
      </w:r>
      <w:r w:rsidR="002F3F9A">
        <w:rPr>
          <w:rFonts w:ascii="Times New Roman" w:hAnsi="Times New Roman" w:cs="Times New Roman"/>
          <w:sz w:val="24"/>
          <w:szCs w:val="24"/>
        </w:rPr>
        <w:t xml:space="preserve"> and organizations</w:t>
      </w:r>
      <w:r w:rsidRPr="00A01A68">
        <w:rPr>
          <w:rFonts w:ascii="Times New Roman" w:hAnsi="Times New Roman" w:cs="Times New Roman"/>
          <w:sz w:val="24"/>
          <w:szCs w:val="24"/>
        </w:rPr>
        <w:t xml:space="preserve"> for their contributions. </w:t>
      </w:r>
    </w:p>
    <w:p w14:paraId="216976FE" w14:textId="68ECA9A9" w:rsidR="0075195B" w:rsidRDefault="008738E4" w:rsidP="001636BB">
      <w:pPr>
        <w:tabs>
          <w:tab w:val="left" w:pos="3990"/>
        </w:tabs>
        <w:spacing w:line="240" w:lineRule="auto"/>
        <w:jc w:val="both"/>
        <w:rPr>
          <w:rFonts w:ascii="Times New Roman" w:hAnsi="Times New Roman" w:cs="Times New Roman"/>
          <w:b/>
          <w:bCs/>
          <w:sz w:val="24"/>
          <w:szCs w:val="24"/>
        </w:rPr>
      </w:pPr>
      <w:r w:rsidRPr="008738E4">
        <w:rPr>
          <w:rFonts w:ascii="Times New Roman" w:hAnsi="Times New Roman" w:cs="Times New Roman"/>
          <w:b/>
          <w:bCs/>
          <w:sz w:val="24"/>
          <w:szCs w:val="24"/>
        </w:rPr>
        <w:t>Town of Manlius, New York</w:t>
      </w:r>
    </w:p>
    <w:p w14:paraId="5A35A830" w14:textId="27F6EC64" w:rsidR="008738E4" w:rsidRDefault="00C503A4" w:rsidP="001636BB">
      <w:pPr>
        <w:tabs>
          <w:tab w:val="left" w:pos="3990"/>
        </w:tabs>
        <w:spacing w:line="240" w:lineRule="auto"/>
        <w:jc w:val="both"/>
        <w:rPr>
          <w:rFonts w:ascii="Times New Roman" w:hAnsi="Times New Roman" w:cs="Times New Roman"/>
          <w:sz w:val="24"/>
          <w:szCs w:val="24"/>
        </w:rPr>
      </w:pPr>
      <w:r>
        <w:rPr>
          <w:rFonts w:ascii="Times New Roman" w:hAnsi="Times New Roman" w:cs="Times New Roman"/>
          <w:sz w:val="24"/>
          <w:szCs w:val="24"/>
        </w:rPr>
        <w:t>The Town of Manlius Board</w:t>
      </w:r>
    </w:p>
    <w:p w14:paraId="2221E099" w14:textId="30BE3D6B" w:rsidR="001F76F0" w:rsidRDefault="001F76F0" w:rsidP="001636BB">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1F76F0">
        <w:rPr>
          <w:rFonts w:ascii="Times New Roman" w:eastAsia="Times New Roman" w:hAnsi="Times New Roman" w:cs="Times New Roman"/>
          <w:b/>
          <w:color w:val="000000"/>
          <w:sz w:val="24"/>
          <w:szCs w:val="24"/>
        </w:rPr>
        <w:t xml:space="preserve">Central New York Regional Planning and Development Board </w:t>
      </w:r>
    </w:p>
    <w:p w14:paraId="0D46F3A9" w14:textId="05E06EA0" w:rsidR="001F76F0" w:rsidRDefault="001F76F0" w:rsidP="001636BB">
      <w:pPr>
        <w:pBdr>
          <w:top w:val="nil"/>
          <w:left w:val="nil"/>
          <w:bottom w:val="nil"/>
          <w:right w:val="nil"/>
          <w:between w:val="nil"/>
        </w:pBd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Amanda </w:t>
      </w:r>
      <w:r w:rsidR="00295182">
        <w:rPr>
          <w:rFonts w:ascii="Times New Roman" w:eastAsia="Times New Roman" w:hAnsi="Times New Roman" w:cs="Times New Roman"/>
          <w:bCs/>
          <w:color w:val="000000"/>
          <w:sz w:val="24"/>
          <w:szCs w:val="24"/>
        </w:rPr>
        <w:t>Mazzoni</w:t>
      </w:r>
    </w:p>
    <w:p w14:paraId="0E00AA33" w14:textId="58291B74" w:rsidR="00295182" w:rsidRDefault="00283A0A" w:rsidP="001636BB">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SUNY College of Environmental Science and Forestry</w:t>
      </w:r>
    </w:p>
    <w:p w14:paraId="3C0F1459" w14:textId="593CAC56" w:rsidR="00283A0A" w:rsidRDefault="00283A0A" w:rsidP="001636BB">
      <w:pPr>
        <w:pBdr>
          <w:top w:val="nil"/>
          <w:left w:val="nil"/>
          <w:bottom w:val="nil"/>
          <w:right w:val="nil"/>
          <w:between w:val="nil"/>
        </w:pBd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Dr. Joshua Cousins</w:t>
      </w:r>
    </w:p>
    <w:p w14:paraId="3019C3D1" w14:textId="25E5571D" w:rsidR="002F3F9A" w:rsidRDefault="002F3F9A" w:rsidP="001636BB">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950919E">
        <w:rPr>
          <w:rFonts w:ascii="Times New Roman" w:eastAsia="Times New Roman" w:hAnsi="Times New Roman" w:cs="Times New Roman"/>
          <w:b/>
          <w:bCs/>
          <w:color w:val="000000" w:themeColor="text1"/>
          <w:sz w:val="24"/>
          <w:szCs w:val="24"/>
        </w:rPr>
        <w:t>Environment</w:t>
      </w:r>
      <w:r w:rsidR="38C83A62" w:rsidRPr="0950919E">
        <w:rPr>
          <w:rFonts w:ascii="Times New Roman" w:eastAsia="Times New Roman" w:hAnsi="Times New Roman" w:cs="Times New Roman"/>
          <w:b/>
          <w:bCs/>
          <w:color w:val="000000" w:themeColor="text1"/>
          <w:sz w:val="24"/>
          <w:szCs w:val="24"/>
        </w:rPr>
        <w:t>al</w:t>
      </w:r>
      <w:r w:rsidRPr="0950919E">
        <w:rPr>
          <w:rFonts w:ascii="Times New Roman" w:eastAsia="Times New Roman" w:hAnsi="Times New Roman" w:cs="Times New Roman"/>
          <w:b/>
          <w:color w:val="000000" w:themeColor="text1"/>
          <w:sz w:val="24"/>
          <w:szCs w:val="24"/>
        </w:rPr>
        <w:t xml:space="preserve"> Protection Agency </w:t>
      </w:r>
    </w:p>
    <w:p w14:paraId="6779F640" w14:textId="77777777" w:rsidR="002F3F9A" w:rsidRDefault="002F3F9A" w:rsidP="001636B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Local Government Greenhouse Gas Inventory Module created under the Clean Energy Program </w:t>
      </w:r>
    </w:p>
    <w:p w14:paraId="07AC576E" w14:textId="77777777" w:rsidR="00283A0A" w:rsidRPr="00283A0A" w:rsidRDefault="00283A0A" w:rsidP="001636BB">
      <w:pPr>
        <w:pBdr>
          <w:top w:val="nil"/>
          <w:left w:val="nil"/>
          <w:bottom w:val="nil"/>
          <w:right w:val="nil"/>
          <w:between w:val="nil"/>
        </w:pBdr>
        <w:spacing w:line="240" w:lineRule="auto"/>
        <w:rPr>
          <w:rFonts w:ascii="Times New Roman" w:eastAsia="Times New Roman" w:hAnsi="Times New Roman" w:cs="Times New Roman"/>
          <w:bCs/>
          <w:color w:val="000000"/>
          <w:sz w:val="24"/>
          <w:szCs w:val="24"/>
        </w:rPr>
      </w:pPr>
    </w:p>
    <w:p w14:paraId="46D773AC" w14:textId="3590D4CA" w:rsidR="00C503A4" w:rsidRPr="00C503A4" w:rsidRDefault="00C503A4" w:rsidP="001636BB">
      <w:pPr>
        <w:tabs>
          <w:tab w:val="left" w:pos="3990"/>
        </w:tabs>
        <w:spacing w:line="240" w:lineRule="auto"/>
        <w:jc w:val="both"/>
        <w:rPr>
          <w:rFonts w:ascii="Times New Roman" w:hAnsi="Times New Roman" w:cs="Times New Roman"/>
          <w:b/>
          <w:bCs/>
          <w:sz w:val="24"/>
          <w:szCs w:val="24"/>
        </w:rPr>
      </w:pPr>
    </w:p>
    <w:p w14:paraId="4131CC2D" w14:textId="77777777" w:rsidR="008738E4" w:rsidRPr="008738E4" w:rsidRDefault="008738E4" w:rsidP="001636BB">
      <w:pPr>
        <w:tabs>
          <w:tab w:val="left" w:pos="3990"/>
        </w:tabs>
        <w:spacing w:line="240" w:lineRule="auto"/>
        <w:jc w:val="both"/>
        <w:rPr>
          <w:rFonts w:ascii="Times New Roman" w:hAnsi="Times New Roman" w:cs="Times New Roman"/>
          <w:sz w:val="28"/>
          <w:szCs w:val="28"/>
        </w:rPr>
      </w:pPr>
    </w:p>
    <w:p w14:paraId="28B44633" w14:textId="77777777" w:rsidR="0075195B" w:rsidRDefault="0075195B" w:rsidP="001636BB">
      <w:pPr>
        <w:tabs>
          <w:tab w:val="left" w:pos="3990"/>
        </w:tabs>
        <w:spacing w:line="240" w:lineRule="auto"/>
        <w:jc w:val="both"/>
        <w:rPr>
          <w:rFonts w:ascii="Times New Roman" w:hAnsi="Times New Roman" w:cs="Times New Roman"/>
          <w:b/>
          <w:bCs/>
          <w:color w:val="385623" w:themeColor="accent6" w:themeShade="80"/>
          <w:sz w:val="30"/>
          <w:szCs w:val="30"/>
        </w:rPr>
      </w:pPr>
    </w:p>
    <w:p w14:paraId="3EB6DAA8" w14:textId="77777777" w:rsidR="0075195B" w:rsidRDefault="0075195B" w:rsidP="001636BB">
      <w:pPr>
        <w:tabs>
          <w:tab w:val="left" w:pos="3990"/>
        </w:tabs>
        <w:spacing w:line="240" w:lineRule="auto"/>
        <w:jc w:val="both"/>
        <w:rPr>
          <w:rFonts w:ascii="Times New Roman" w:hAnsi="Times New Roman" w:cs="Times New Roman"/>
          <w:b/>
          <w:bCs/>
          <w:color w:val="385623" w:themeColor="accent6" w:themeShade="80"/>
          <w:sz w:val="30"/>
          <w:szCs w:val="30"/>
        </w:rPr>
      </w:pPr>
    </w:p>
    <w:p w14:paraId="7CB97376" w14:textId="41B41109" w:rsidR="0075195B" w:rsidRDefault="0075195B" w:rsidP="001636BB">
      <w:pPr>
        <w:tabs>
          <w:tab w:val="left" w:pos="3990"/>
        </w:tabs>
        <w:spacing w:line="240" w:lineRule="auto"/>
        <w:jc w:val="both"/>
        <w:rPr>
          <w:rFonts w:ascii="Times New Roman" w:hAnsi="Times New Roman" w:cs="Times New Roman"/>
          <w:b/>
          <w:bCs/>
          <w:color w:val="385623" w:themeColor="accent6" w:themeShade="80"/>
          <w:sz w:val="30"/>
          <w:szCs w:val="30"/>
        </w:rPr>
      </w:pPr>
    </w:p>
    <w:p w14:paraId="33FE576B" w14:textId="3F6C72D9" w:rsidR="00CF1B7A" w:rsidRDefault="00CF1B7A" w:rsidP="001636BB">
      <w:pPr>
        <w:tabs>
          <w:tab w:val="left" w:pos="3990"/>
        </w:tabs>
        <w:spacing w:line="240" w:lineRule="auto"/>
        <w:jc w:val="both"/>
        <w:rPr>
          <w:rFonts w:ascii="Times New Roman" w:hAnsi="Times New Roman" w:cs="Times New Roman"/>
          <w:b/>
          <w:bCs/>
          <w:color w:val="385623" w:themeColor="accent6" w:themeShade="80"/>
          <w:sz w:val="30"/>
          <w:szCs w:val="30"/>
        </w:rPr>
      </w:pPr>
    </w:p>
    <w:p w14:paraId="3E7EB38B" w14:textId="1DBAA4A1" w:rsidR="00CF1B7A" w:rsidRDefault="00CF1B7A" w:rsidP="001636BB">
      <w:pPr>
        <w:tabs>
          <w:tab w:val="left" w:pos="3990"/>
        </w:tabs>
        <w:spacing w:line="240" w:lineRule="auto"/>
        <w:jc w:val="both"/>
        <w:rPr>
          <w:rFonts w:ascii="Times New Roman" w:hAnsi="Times New Roman" w:cs="Times New Roman"/>
          <w:b/>
          <w:bCs/>
          <w:color w:val="385623" w:themeColor="accent6" w:themeShade="80"/>
          <w:sz w:val="30"/>
          <w:szCs w:val="30"/>
        </w:rPr>
      </w:pPr>
    </w:p>
    <w:p w14:paraId="1C4A72C2" w14:textId="6F212DC7" w:rsidR="00CF1B7A" w:rsidRDefault="00CF1B7A" w:rsidP="001636BB">
      <w:pPr>
        <w:tabs>
          <w:tab w:val="left" w:pos="3990"/>
        </w:tabs>
        <w:spacing w:line="240" w:lineRule="auto"/>
        <w:jc w:val="both"/>
        <w:rPr>
          <w:rFonts w:ascii="Times New Roman" w:hAnsi="Times New Roman" w:cs="Times New Roman"/>
          <w:b/>
          <w:bCs/>
          <w:color w:val="385623" w:themeColor="accent6" w:themeShade="80"/>
          <w:sz w:val="30"/>
          <w:szCs w:val="30"/>
        </w:rPr>
      </w:pPr>
    </w:p>
    <w:p w14:paraId="66E61910" w14:textId="245C58B3" w:rsidR="00CF1B7A" w:rsidRDefault="00CF1B7A" w:rsidP="001636BB">
      <w:pPr>
        <w:tabs>
          <w:tab w:val="left" w:pos="3990"/>
        </w:tabs>
        <w:spacing w:line="240" w:lineRule="auto"/>
        <w:jc w:val="both"/>
        <w:rPr>
          <w:rFonts w:ascii="Times New Roman" w:hAnsi="Times New Roman" w:cs="Times New Roman"/>
          <w:b/>
          <w:bCs/>
          <w:color w:val="385623" w:themeColor="accent6" w:themeShade="80"/>
          <w:sz w:val="30"/>
          <w:szCs w:val="30"/>
        </w:rPr>
      </w:pPr>
    </w:p>
    <w:p w14:paraId="2521FFC6" w14:textId="3195CE6C" w:rsidR="0075195B" w:rsidRDefault="0075195B" w:rsidP="001636BB">
      <w:pPr>
        <w:tabs>
          <w:tab w:val="left" w:pos="3990"/>
        </w:tabs>
        <w:spacing w:line="240" w:lineRule="auto"/>
        <w:jc w:val="both"/>
        <w:rPr>
          <w:rFonts w:ascii="Times New Roman" w:hAnsi="Times New Roman" w:cs="Times New Roman"/>
          <w:b/>
          <w:bCs/>
          <w:color w:val="385623" w:themeColor="accent6" w:themeShade="80"/>
          <w:sz w:val="30"/>
          <w:szCs w:val="30"/>
        </w:rPr>
      </w:pPr>
    </w:p>
    <w:p w14:paraId="5B1CD8B4" w14:textId="7CB25890" w:rsidR="00D92D71" w:rsidRDefault="00D92D71" w:rsidP="001636BB">
      <w:pPr>
        <w:tabs>
          <w:tab w:val="left" w:pos="3990"/>
        </w:tabs>
        <w:spacing w:line="240" w:lineRule="auto"/>
        <w:jc w:val="both"/>
        <w:rPr>
          <w:rFonts w:ascii="Times New Roman" w:hAnsi="Times New Roman" w:cs="Times New Roman"/>
          <w:b/>
          <w:bCs/>
          <w:color w:val="385623" w:themeColor="accent6" w:themeShade="80"/>
          <w:sz w:val="30"/>
          <w:szCs w:val="30"/>
        </w:rPr>
      </w:pPr>
    </w:p>
    <w:p w14:paraId="60FC9115" w14:textId="52DE368C" w:rsidR="00D92D71" w:rsidRDefault="00D92D71" w:rsidP="001636BB">
      <w:pPr>
        <w:tabs>
          <w:tab w:val="left" w:pos="3990"/>
        </w:tabs>
        <w:spacing w:line="240" w:lineRule="auto"/>
        <w:jc w:val="both"/>
        <w:rPr>
          <w:rFonts w:ascii="Times New Roman" w:hAnsi="Times New Roman" w:cs="Times New Roman"/>
          <w:b/>
          <w:bCs/>
          <w:color w:val="385623" w:themeColor="accent6" w:themeShade="80"/>
          <w:sz w:val="30"/>
          <w:szCs w:val="30"/>
        </w:rPr>
      </w:pPr>
    </w:p>
    <w:p w14:paraId="31DF73F9" w14:textId="77777777" w:rsidR="00D92D71" w:rsidRDefault="00D92D71" w:rsidP="001636BB">
      <w:pPr>
        <w:tabs>
          <w:tab w:val="left" w:pos="3990"/>
        </w:tabs>
        <w:spacing w:line="240" w:lineRule="auto"/>
        <w:jc w:val="both"/>
        <w:rPr>
          <w:rFonts w:ascii="Times New Roman" w:hAnsi="Times New Roman" w:cs="Times New Roman"/>
          <w:b/>
          <w:bCs/>
          <w:color w:val="385623" w:themeColor="accent6" w:themeShade="80"/>
          <w:sz w:val="30"/>
          <w:szCs w:val="30"/>
        </w:rPr>
      </w:pPr>
    </w:p>
    <w:p w14:paraId="710C7810" w14:textId="2FFDF5B8" w:rsidR="004E0081" w:rsidRPr="00D05EB4" w:rsidRDefault="004E0081" w:rsidP="001636BB">
      <w:pPr>
        <w:pStyle w:val="Heading1"/>
        <w:spacing w:line="240" w:lineRule="auto"/>
        <w:rPr>
          <w:rFonts w:ascii="Times New Roman" w:hAnsi="Times New Roman" w:cs="Times New Roman"/>
          <w:b/>
          <w:bCs/>
          <w:color w:val="385623" w:themeColor="accent6" w:themeShade="80"/>
        </w:rPr>
      </w:pPr>
      <w:bookmarkStart w:id="1" w:name="_Toc71547919"/>
      <w:r w:rsidRPr="00D05EB4">
        <w:rPr>
          <w:rFonts w:ascii="Times New Roman" w:hAnsi="Times New Roman" w:cs="Times New Roman"/>
          <w:b/>
          <w:bCs/>
          <w:color w:val="385623" w:themeColor="accent6" w:themeShade="80"/>
        </w:rPr>
        <w:lastRenderedPageBreak/>
        <w:t>Climate Smart Communities Certification Program</w:t>
      </w:r>
      <w:bookmarkEnd w:id="1"/>
    </w:p>
    <w:p w14:paraId="4AFDDF73" w14:textId="0A0D2755" w:rsidR="004E0081" w:rsidRPr="009520FC" w:rsidRDefault="00946249" w:rsidP="001636BB">
      <w:pPr>
        <w:tabs>
          <w:tab w:val="left" w:pos="399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Climate Smart Communities Certification Program </w:t>
      </w:r>
      <w:r w:rsidR="008979A1">
        <w:rPr>
          <w:rFonts w:ascii="Times New Roman" w:hAnsi="Times New Roman" w:cs="Times New Roman"/>
          <w:sz w:val="24"/>
          <w:szCs w:val="24"/>
        </w:rPr>
        <w:t xml:space="preserve">is a New York State program to incentivize participation </w:t>
      </w:r>
      <w:r w:rsidR="00EB002E">
        <w:rPr>
          <w:rFonts w:ascii="Times New Roman" w:hAnsi="Times New Roman" w:cs="Times New Roman"/>
          <w:sz w:val="24"/>
          <w:szCs w:val="24"/>
        </w:rPr>
        <w:t>in greenhouse gas reduction and</w:t>
      </w:r>
      <w:r w:rsidR="00F379EA">
        <w:rPr>
          <w:rFonts w:ascii="Times New Roman" w:hAnsi="Times New Roman" w:cs="Times New Roman"/>
          <w:sz w:val="24"/>
          <w:szCs w:val="24"/>
        </w:rPr>
        <w:t xml:space="preserve"> the</w:t>
      </w:r>
      <w:r w:rsidR="00EB002E">
        <w:rPr>
          <w:rFonts w:ascii="Times New Roman" w:hAnsi="Times New Roman" w:cs="Times New Roman"/>
          <w:sz w:val="24"/>
          <w:szCs w:val="24"/>
        </w:rPr>
        <w:t xml:space="preserve"> </w:t>
      </w:r>
      <w:r w:rsidR="00D01363">
        <w:rPr>
          <w:rFonts w:ascii="Times New Roman" w:hAnsi="Times New Roman" w:cs="Times New Roman"/>
          <w:sz w:val="24"/>
          <w:szCs w:val="24"/>
        </w:rPr>
        <w:t>institut</w:t>
      </w:r>
      <w:r w:rsidR="00F379EA">
        <w:rPr>
          <w:rFonts w:ascii="Times New Roman" w:hAnsi="Times New Roman" w:cs="Times New Roman"/>
          <w:sz w:val="24"/>
          <w:szCs w:val="24"/>
        </w:rPr>
        <w:t xml:space="preserve">ion </w:t>
      </w:r>
      <w:r w:rsidR="00DB3996">
        <w:rPr>
          <w:rFonts w:ascii="Times New Roman" w:hAnsi="Times New Roman" w:cs="Times New Roman"/>
          <w:sz w:val="24"/>
          <w:szCs w:val="24"/>
        </w:rPr>
        <w:t>of programs</w:t>
      </w:r>
      <w:r w:rsidR="00D01363">
        <w:rPr>
          <w:rFonts w:ascii="Times New Roman" w:hAnsi="Times New Roman" w:cs="Times New Roman"/>
          <w:sz w:val="24"/>
          <w:szCs w:val="24"/>
        </w:rPr>
        <w:t xml:space="preserve"> to address climate change in New York.</w:t>
      </w:r>
      <w:r w:rsidR="00F379EA">
        <w:rPr>
          <w:rFonts w:ascii="Times New Roman" w:hAnsi="Times New Roman" w:cs="Times New Roman"/>
          <w:sz w:val="24"/>
          <w:szCs w:val="24"/>
        </w:rPr>
        <w:t xml:space="preserve"> </w:t>
      </w:r>
      <w:r w:rsidR="00B71B48" w:rsidRPr="00B71B48">
        <w:rPr>
          <w:rFonts w:ascii="Times New Roman" w:hAnsi="Times New Roman" w:cs="Times New Roman"/>
          <w:sz w:val="24"/>
          <w:szCs w:val="24"/>
        </w:rPr>
        <w:t xml:space="preserve">A community is either "Registered" </w:t>
      </w:r>
      <w:r w:rsidR="00B71B48">
        <w:rPr>
          <w:rFonts w:ascii="Times New Roman" w:hAnsi="Times New Roman" w:cs="Times New Roman"/>
          <w:sz w:val="24"/>
          <w:szCs w:val="24"/>
        </w:rPr>
        <w:t>or</w:t>
      </w:r>
      <w:r w:rsidR="00B71B48" w:rsidRPr="00B71B48">
        <w:rPr>
          <w:rFonts w:ascii="Times New Roman" w:hAnsi="Times New Roman" w:cs="Times New Roman"/>
          <w:sz w:val="24"/>
          <w:szCs w:val="24"/>
        </w:rPr>
        <w:t xml:space="preserve"> "Certified." A community is "registered" if they adopt the 10 element CSC pledge. A community is "certified" if they go above and beyond by </w:t>
      </w:r>
      <w:proofErr w:type="gramStart"/>
      <w:r w:rsidR="00B71B48" w:rsidRPr="00B71B48">
        <w:rPr>
          <w:rFonts w:ascii="Times New Roman" w:hAnsi="Times New Roman" w:cs="Times New Roman"/>
          <w:sz w:val="24"/>
          <w:szCs w:val="24"/>
        </w:rPr>
        <w:t>taking action</w:t>
      </w:r>
      <w:proofErr w:type="gramEnd"/>
      <w:r w:rsidR="00B71B48" w:rsidRPr="00B71B48">
        <w:rPr>
          <w:rFonts w:ascii="Times New Roman" w:hAnsi="Times New Roman" w:cs="Times New Roman"/>
          <w:sz w:val="24"/>
          <w:szCs w:val="24"/>
        </w:rPr>
        <w:t xml:space="preserve"> and submitting paperwork to DEC to become Certified for actions they</w:t>
      </w:r>
      <w:r w:rsidR="00B71B48">
        <w:rPr>
          <w:rFonts w:ascii="Times New Roman" w:hAnsi="Times New Roman" w:cs="Times New Roman"/>
          <w:sz w:val="24"/>
          <w:szCs w:val="24"/>
        </w:rPr>
        <w:t xml:space="preserve"> ha</w:t>
      </w:r>
      <w:r w:rsidR="00B71B48" w:rsidRPr="00B71B48">
        <w:rPr>
          <w:rFonts w:ascii="Times New Roman" w:hAnsi="Times New Roman" w:cs="Times New Roman"/>
          <w:sz w:val="24"/>
          <w:szCs w:val="24"/>
        </w:rPr>
        <w:t>ve taken.</w:t>
      </w:r>
      <w:r w:rsidR="00B71B48">
        <w:rPr>
          <w:rFonts w:ascii="Times New Roman" w:hAnsi="Times New Roman" w:cs="Times New Roman"/>
          <w:sz w:val="24"/>
          <w:szCs w:val="24"/>
        </w:rPr>
        <w:t xml:space="preserve"> </w:t>
      </w:r>
      <w:r w:rsidR="00DB3996">
        <w:rPr>
          <w:rFonts w:ascii="Times New Roman" w:hAnsi="Times New Roman" w:cs="Times New Roman"/>
          <w:sz w:val="24"/>
          <w:szCs w:val="24"/>
        </w:rPr>
        <w:t xml:space="preserve">Municipalities can become certified </w:t>
      </w:r>
      <w:r w:rsidR="00B71B48">
        <w:rPr>
          <w:rFonts w:ascii="Times New Roman" w:hAnsi="Times New Roman" w:cs="Times New Roman"/>
          <w:sz w:val="24"/>
          <w:szCs w:val="24"/>
        </w:rPr>
        <w:t>as</w:t>
      </w:r>
      <w:r w:rsidR="00DB3996">
        <w:rPr>
          <w:rFonts w:ascii="Times New Roman" w:hAnsi="Times New Roman" w:cs="Times New Roman"/>
          <w:sz w:val="24"/>
          <w:szCs w:val="24"/>
        </w:rPr>
        <w:t xml:space="preserve"> Bronze or Silver in relation to the areas dedication to their implemented climate </w:t>
      </w:r>
      <w:r w:rsidR="004D3D96">
        <w:rPr>
          <w:rFonts w:ascii="Times New Roman" w:hAnsi="Times New Roman" w:cs="Times New Roman"/>
          <w:sz w:val="24"/>
          <w:szCs w:val="24"/>
        </w:rPr>
        <w:t>smart</w:t>
      </w:r>
      <w:r w:rsidR="00DB3996">
        <w:rPr>
          <w:rFonts w:ascii="Times New Roman" w:hAnsi="Times New Roman" w:cs="Times New Roman"/>
          <w:sz w:val="24"/>
          <w:szCs w:val="24"/>
        </w:rPr>
        <w:t xml:space="preserve"> and greenhouse gas (GHG) focused policies. </w:t>
      </w:r>
      <w:r w:rsidR="003F5FBC">
        <w:rPr>
          <w:rFonts w:ascii="Times New Roman" w:hAnsi="Times New Roman" w:cs="Times New Roman"/>
          <w:sz w:val="24"/>
          <w:szCs w:val="24"/>
        </w:rPr>
        <w:t xml:space="preserve">Communities can benefit from certification in </w:t>
      </w:r>
      <w:r w:rsidR="006701D2">
        <w:rPr>
          <w:rFonts w:ascii="Times New Roman" w:hAnsi="Times New Roman" w:cs="Times New Roman"/>
          <w:sz w:val="24"/>
          <w:szCs w:val="24"/>
        </w:rPr>
        <w:t>several</w:t>
      </w:r>
      <w:r w:rsidR="003F5FBC">
        <w:rPr>
          <w:rFonts w:ascii="Times New Roman" w:hAnsi="Times New Roman" w:cs="Times New Roman"/>
          <w:sz w:val="24"/>
          <w:szCs w:val="24"/>
        </w:rPr>
        <w:t xml:space="preserve"> ways, such as better scores on grant applications, </w:t>
      </w:r>
      <w:r w:rsidR="005012C9">
        <w:rPr>
          <w:rFonts w:ascii="Times New Roman" w:hAnsi="Times New Roman" w:cs="Times New Roman"/>
          <w:sz w:val="24"/>
          <w:szCs w:val="24"/>
        </w:rPr>
        <w:t xml:space="preserve">and </w:t>
      </w:r>
      <w:r w:rsidR="009F7E56">
        <w:rPr>
          <w:rFonts w:ascii="Times New Roman" w:hAnsi="Times New Roman" w:cs="Times New Roman"/>
          <w:sz w:val="24"/>
          <w:szCs w:val="24"/>
        </w:rPr>
        <w:t>recognition for climate-smart policies across the stat</w:t>
      </w:r>
      <w:r w:rsidR="005012C9">
        <w:rPr>
          <w:rFonts w:ascii="Times New Roman" w:hAnsi="Times New Roman" w:cs="Times New Roman"/>
          <w:sz w:val="24"/>
          <w:szCs w:val="24"/>
        </w:rPr>
        <w:t xml:space="preserve">e. </w:t>
      </w:r>
      <w:r w:rsidR="00E06828">
        <w:rPr>
          <w:rFonts w:ascii="Times New Roman" w:hAnsi="Times New Roman" w:cs="Times New Roman"/>
          <w:sz w:val="24"/>
          <w:szCs w:val="24"/>
        </w:rPr>
        <w:t xml:space="preserve">Communities participating in the program can also </w:t>
      </w:r>
      <w:r w:rsidR="006701D2">
        <w:rPr>
          <w:rFonts w:ascii="Times New Roman" w:hAnsi="Times New Roman" w:cs="Times New Roman"/>
          <w:sz w:val="24"/>
          <w:szCs w:val="24"/>
        </w:rPr>
        <w:t xml:space="preserve">have better scores on grants such as the NYS DEC municipal zero-emission vehicle </w:t>
      </w:r>
      <w:r w:rsidR="0053756D">
        <w:rPr>
          <w:rFonts w:ascii="Times New Roman" w:hAnsi="Times New Roman" w:cs="Times New Roman"/>
          <w:sz w:val="24"/>
          <w:szCs w:val="24"/>
        </w:rPr>
        <w:t>rebate, which can incentivize the inclusion of zero emission vehicles in municipal vehicle fleets</w:t>
      </w:r>
      <w:r w:rsidR="00AC4CAE">
        <w:rPr>
          <w:rFonts w:ascii="Times New Roman" w:hAnsi="Times New Roman" w:cs="Times New Roman"/>
          <w:sz w:val="24"/>
          <w:szCs w:val="24"/>
        </w:rPr>
        <w:t xml:space="preserve"> through rebates amounting up to $7500. </w:t>
      </w:r>
      <w:r w:rsidR="00094AC9">
        <w:rPr>
          <w:rFonts w:ascii="Times New Roman" w:hAnsi="Times New Roman" w:cs="Times New Roman"/>
          <w:sz w:val="24"/>
          <w:szCs w:val="24"/>
        </w:rPr>
        <w:t xml:space="preserve">The NYS DEC also </w:t>
      </w:r>
      <w:r w:rsidR="005976A4">
        <w:rPr>
          <w:rFonts w:ascii="Times New Roman" w:hAnsi="Times New Roman" w:cs="Times New Roman"/>
          <w:sz w:val="24"/>
          <w:szCs w:val="24"/>
        </w:rPr>
        <w:t xml:space="preserve">gives preference to communities participating in the program </w:t>
      </w:r>
      <w:r w:rsidR="00F127FB">
        <w:rPr>
          <w:rFonts w:ascii="Times New Roman" w:hAnsi="Times New Roman" w:cs="Times New Roman"/>
          <w:sz w:val="24"/>
          <w:szCs w:val="24"/>
        </w:rPr>
        <w:t xml:space="preserve">for the ZEV Infrastructure Grant </w:t>
      </w:r>
      <w:r w:rsidR="005A7075">
        <w:rPr>
          <w:rFonts w:ascii="Times New Roman" w:hAnsi="Times New Roman" w:cs="Times New Roman"/>
          <w:sz w:val="24"/>
          <w:szCs w:val="24"/>
        </w:rPr>
        <w:t>up to $500,000 for the installation of</w:t>
      </w:r>
      <w:r w:rsidR="009520FC">
        <w:rPr>
          <w:rFonts w:ascii="Times New Roman" w:hAnsi="Times New Roman" w:cs="Times New Roman"/>
          <w:sz w:val="24"/>
          <w:szCs w:val="24"/>
        </w:rPr>
        <w:t xml:space="preserve"> climate smart energy </w:t>
      </w:r>
      <w:r w:rsidR="007D4261">
        <w:rPr>
          <w:rFonts w:ascii="Times New Roman" w:hAnsi="Times New Roman" w:cs="Times New Roman"/>
          <w:sz w:val="24"/>
          <w:szCs w:val="24"/>
        </w:rPr>
        <w:t>systems at municipal facilities, such as electric vehicle supply equipment or hydrogen fuel dispensing equipment.</w:t>
      </w:r>
    </w:p>
    <w:p w14:paraId="7AD077DD" w14:textId="2A936268" w:rsidR="001636BB" w:rsidRPr="001636BB" w:rsidRDefault="007D10BB" w:rsidP="001636BB">
      <w:pPr>
        <w:pStyle w:val="Heading1"/>
        <w:spacing w:line="240" w:lineRule="auto"/>
        <w:rPr>
          <w:rFonts w:ascii="Times New Roman" w:hAnsi="Times New Roman" w:cs="Times New Roman"/>
          <w:b/>
          <w:bCs/>
          <w:color w:val="385623" w:themeColor="accent6" w:themeShade="80"/>
        </w:rPr>
      </w:pPr>
      <w:bookmarkStart w:id="2" w:name="_Toc71547920"/>
      <w:r w:rsidRPr="00D05EB4">
        <w:rPr>
          <w:rFonts w:ascii="Times New Roman" w:hAnsi="Times New Roman" w:cs="Times New Roman"/>
          <w:b/>
          <w:bCs/>
          <w:color w:val="385623" w:themeColor="accent6" w:themeShade="80"/>
        </w:rPr>
        <w:t>Background and Purpose</w:t>
      </w:r>
      <w:bookmarkEnd w:id="2"/>
    </w:p>
    <w:p w14:paraId="1BD1D05F" w14:textId="77777777" w:rsidR="00D65EBC" w:rsidRPr="00D05EB4" w:rsidRDefault="00D65EBC" w:rsidP="001636BB">
      <w:pPr>
        <w:pStyle w:val="Heading2"/>
        <w:spacing w:line="240" w:lineRule="auto"/>
        <w:rPr>
          <w:rFonts w:ascii="Times New Roman" w:eastAsia="Times New Roman" w:hAnsi="Times New Roman" w:cs="Times New Roman"/>
          <w:b/>
          <w:bCs/>
          <w:color w:val="385623" w:themeColor="accent6" w:themeShade="80"/>
        </w:rPr>
      </w:pPr>
      <w:bookmarkStart w:id="3" w:name="_Toc71547921"/>
      <w:r w:rsidRPr="00D05EB4">
        <w:rPr>
          <w:rFonts w:ascii="Times New Roman" w:eastAsia="Times New Roman" w:hAnsi="Times New Roman" w:cs="Times New Roman"/>
          <w:b/>
          <w:bCs/>
          <w:color w:val="385623" w:themeColor="accent6" w:themeShade="80"/>
        </w:rPr>
        <w:t>Town of Manlius</w:t>
      </w:r>
      <w:bookmarkEnd w:id="3"/>
    </w:p>
    <w:p w14:paraId="5B3381B6" w14:textId="7E5D2BEB" w:rsidR="00D65EBC" w:rsidRPr="00D65EBC" w:rsidRDefault="00D65EBC" w:rsidP="001636BB">
      <w:pPr>
        <w:spacing w:after="0" w:line="240" w:lineRule="auto"/>
        <w:jc w:val="both"/>
        <w:rPr>
          <w:rFonts w:ascii="Times New Roman" w:eastAsia="Times New Roman" w:hAnsi="Times New Roman" w:cs="Times New Roman"/>
          <w:sz w:val="24"/>
          <w:szCs w:val="24"/>
        </w:rPr>
      </w:pPr>
      <w:r w:rsidRPr="00D65EBC">
        <w:rPr>
          <w:rFonts w:ascii="Arial" w:eastAsia="Times New Roman" w:hAnsi="Arial" w:cs="Arial"/>
          <w:color w:val="000000"/>
          <w:sz w:val="24"/>
          <w:szCs w:val="24"/>
        </w:rPr>
        <w:tab/>
      </w:r>
      <w:r w:rsidRPr="00D65EBC">
        <w:rPr>
          <w:rFonts w:ascii="Times New Roman" w:eastAsia="Times New Roman" w:hAnsi="Times New Roman" w:cs="Times New Roman"/>
          <w:color w:val="000000"/>
          <w:sz w:val="24"/>
          <w:szCs w:val="24"/>
        </w:rPr>
        <w:t xml:space="preserve">The town of Manlius </w:t>
      </w:r>
      <w:proofErr w:type="gramStart"/>
      <w:r w:rsidRPr="00D65EBC">
        <w:rPr>
          <w:rFonts w:ascii="Times New Roman" w:eastAsia="Times New Roman" w:hAnsi="Times New Roman" w:cs="Times New Roman"/>
          <w:color w:val="000000"/>
          <w:sz w:val="24"/>
          <w:szCs w:val="24"/>
        </w:rPr>
        <w:t>is located in</w:t>
      </w:r>
      <w:proofErr w:type="gramEnd"/>
      <w:r w:rsidRPr="00D65EBC">
        <w:rPr>
          <w:rFonts w:ascii="Times New Roman" w:eastAsia="Times New Roman" w:hAnsi="Times New Roman" w:cs="Times New Roman"/>
          <w:color w:val="000000"/>
          <w:sz w:val="24"/>
          <w:szCs w:val="24"/>
        </w:rPr>
        <w:t xml:space="preserve"> Onondaga County in New York State; it is approximately twenty minutes from the city of Syracuse. Currently, the town has a population of </w:t>
      </w:r>
      <w:r w:rsidR="00775D5F">
        <w:rPr>
          <w:rFonts w:ascii="Times New Roman" w:eastAsia="Times New Roman" w:hAnsi="Times New Roman" w:cs="Times New Roman"/>
          <w:color w:val="000000"/>
          <w:sz w:val="24"/>
          <w:szCs w:val="24"/>
        </w:rPr>
        <w:t>19,849</w:t>
      </w:r>
      <w:r w:rsidRPr="00D65EBC">
        <w:rPr>
          <w:rFonts w:ascii="Times New Roman" w:eastAsia="Times New Roman" w:hAnsi="Times New Roman" w:cs="Times New Roman"/>
          <w:color w:val="000000"/>
          <w:sz w:val="24"/>
          <w:szCs w:val="24"/>
        </w:rPr>
        <w:t xml:space="preserve"> people (not including the three villages), however, the village populations are not required for this inventory. This inventory will be conducted based </w:t>
      </w:r>
      <w:r w:rsidR="007C50B6" w:rsidRPr="00D65EBC">
        <w:rPr>
          <w:rFonts w:ascii="Times New Roman" w:eastAsia="Times New Roman" w:hAnsi="Times New Roman" w:cs="Times New Roman"/>
          <w:color w:val="000000"/>
          <w:sz w:val="24"/>
          <w:szCs w:val="24"/>
        </w:rPr>
        <w:t>off</w:t>
      </w:r>
      <w:r w:rsidRPr="00D65EBC">
        <w:rPr>
          <w:rFonts w:ascii="Times New Roman" w:eastAsia="Times New Roman" w:hAnsi="Times New Roman" w:cs="Times New Roman"/>
          <w:color w:val="000000"/>
          <w:sz w:val="24"/>
          <w:szCs w:val="24"/>
        </w:rPr>
        <w:t xml:space="preserve"> the </w:t>
      </w:r>
      <w:r w:rsidR="004A606B">
        <w:rPr>
          <w:rFonts w:ascii="Times New Roman" w:eastAsia="Times New Roman" w:hAnsi="Times New Roman" w:cs="Times New Roman"/>
          <w:color w:val="000000"/>
          <w:sz w:val="24"/>
          <w:szCs w:val="24"/>
        </w:rPr>
        <w:t>calendar</w:t>
      </w:r>
      <w:r w:rsidRPr="00D65EBC">
        <w:rPr>
          <w:rFonts w:ascii="Times New Roman" w:eastAsia="Times New Roman" w:hAnsi="Times New Roman" w:cs="Times New Roman"/>
          <w:color w:val="000000"/>
          <w:sz w:val="24"/>
          <w:szCs w:val="24"/>
        </w:rPr>
        <w:t xml:space="preserve"> year of 2019 while including three sectors being measured listed below:</w:t>
      </w:r>
    </w:p>
    <w:p w14:paraId="6203FB9B" w14:textId="77777777" w:rsidR="00D65EBC" w:rsidRPr="00D65EBC" w:rsidRDefault="00D65EBC" w:rsidP="001636BB">
      <w:pPr>
        <w:spacing w:after="0" w:line="240" w:lineRule="auto"/>
        <w:rPr>
          <w:rFonts w:ascii="Times New Roman" w:eastAsia="Times New Roman" w:hAnsi="Times New Roman" w:cs="Times New Roman"/>
          <w:sz w:val="24"/>
          <w:szCs w:val="24"/>
        </w:rPr>
      </w:pPr>
      <w:r w:rsidRPr="00D65EBC">
        <w:rPr>
          <w:rFonts w:ascii="Times New Roman" w:eastAsia="Times New Roman" w:hAnsi="Times New Roman" w:cs="Times New Roman"/>
          <w:color w:val="000000"/>
          <w:sz w:val="24"/>
          <w:szCs w:val="24"/>
        </w:rPr>
        <w:tab/>
        <w:t>1) Buildings and facilities</w:t>
      </w:r>
    </w:p>
    <w:p w14:paraId="4DD85701" w14:textId="77777777" w:rsidR="00D65EBC" w:rsidRPr="00D65EBC" w:rsidRDefault="00D65EBC" w:rsidP="001636BB">
      <w:pPr>
        <w:spacing w:after="0" w:line="240" w:lineRule="auto"/>
        <w:rPr>
          <w:rFonts w:ascii="Times New Roman" w:eastAsia="Times New Roman" w:hAnsi="Times New Roman" w:cs="Times New Roman"/>
          <w:sz w:val="24"/>
          <w:szCs w:val="24"/>
        </w:rPr>
      </w:pPr>
      <w:r w:rsidRPr="00D65EBC">
        <w:rPr>
          <w:rFonts w:ascii="Times New Roman" w:eastAsia="Times New Roman" w:hAnsi="Times New Roman" w:cs="Times New Roman"/>
          <w:color w:val="000000"/>
          <w:sz w:val="24"/>
          <w:szCs w:val="24"/>
        </w:rPr>
        <w:tab/>
        <w:t>2) Streetlights</w:t>
      </w:r>
    </w:p>
    <w:p w14:paraId="7F8E9834" w14:textId="77777777" w:rsidR="00D65EBC" w:rsidRPr="00D65EBC" w:rsidRDefault="00D65EBC" w:rsidP="001636BB">
      <w:pPr>
        <w:spacing w:after="0" w:line="240" w:lineRule="auto"/>
        <w:rPr>
          <w:rFonts w:ascii="Times New Roman" w:eastAsia="Times New Roman" w:hAnsi="Times New Roman" w:cs="Times New Roman"/>
          <w:sz w:val="24"/>
          <w:szCs w:val="24"/>
        </w:rPr>
      </w:pPr>
      <w:r w:rsidRPr="00D65EBC">
        <w:rPr>
          <w:rFonts w:ascii="Times New Roman" w:eastAsia="Times New Roman" w:hAnsi="Times New Roman" w:cs="Times New Roman"/>
          <w:color w:val="000000"/>
          <w:sz w:val="24"/>
          <w:szCs w:val="24"/>
        </w:rPr>
        <w:tab/>
        <w:t>3) Vehicle fleet</w:t>
      </w:r>
    </w:p>
    <w:p w14:paraId="50367A99" w14:textId="19879C57" w:rsidR="007D10BB" w:rsidRDefault="00D65EBC" w:rsidP="001636BB">
      <w:pPr>
        <w:spacing w:after="0" w:line="240" w:lineRule="auto"/>
        <w:jc w:val="both"/>
        <w:rPr>
          <w:rFonts w:ascii="Times New Roman" w:eastAsia="Times New Roman" w:hAnsi="Times New Roman" w:cs="Times New Roman"/>
          <w:color w:val="000000"/>
          <w:sz w:val="24"/>
          <w:szCs w:val="24"/>
        </w:rPr>
      </w:pPr>
      <w:r w:rsidRPr="00D65EBC">
        <w:rPr>
          <w:rFonts w:ascii="Times New Roman" w:eastAsia="Times New Roman" w:hAnsi="Times New Roman" w:cs="Times New Roman"/>
          <w:color w:val="000000"/>
          <w:sz w:val="24"/>
          <w:szCs w:val="24"/>
        </w:rPr>
        <w:t xml:space="preserve">Briefly listed here, these sectors </w:t>
      </w:r>
      <w:r w:rsidR="004344C0">
        <w:rPr>
          <w:rFonts w:ascii="Times New Roman" w:eastAsia="Times New Roman" w:hAnsi="Times New Roman" w:cs="Times New Roman"/>
          <w:color w:val="000000"/>
          <w:sz w:val="24"/>
          <w:szCs w:val="24"/>
        </w:rPr>
        <w:t xml:space="preserve">and methods of calculating emissions </w:t>
      </w:r>
      <w:r w:rsidRPr="00D65EBC">
        <w:rPr>
          <w:rFonts w:ascii="Times New Roman" w:eastAsia="Times New Roman" w:hAnsi="Times New Roman" w:cs="Times New Roman"/>
          <w:color w:val="000000"/>
          <w:sz w:val="24"/>
          <w:szCs w:val="24"/>
        </w:rPr>
        <w:t>will be explained more in depth in the methods section of this paper. This significance of this inventory is to inform the town of Manlius of their degree of their emissions of GHG from the three sectors. This inventory would then allow them to make specific changes they see fit backed up by a comprehensive data analysis. This inventory for 2019 would allow Manlius to have a reference to look back on and compare progress for their future.</w:t>
      </w:r>
    </w:p>
    <w:p w14:paraId="220DA29B" w14:textId="77777777" w:rsidR="001636BB" w:rsidRPr="009520FC" w:rsidRDefault="001636BB" w:rsidP="001636BB">
      <w:pPr>
        <w:spacing w:after="0" w:line="240" w:lineRule="auto"/>
        <w:jc w:val="both"/>
        <w:rPr>
          <w:rFonts w:ascii="Times New Roman" w:eastAsia="Times New Roman" w:hAnsi="Times New Roman" w:cs="Times New Roman"/>
          <w:sz w:val="24"/>
          <w:szCs w:val="24"/>
        </w:rPr>
      </w:pPr>
    </w:p>
    <w:p w14:paraId="260E1689" w14:textId="41936FD8" w:rsidR="002E6F78" w:rsidRPr="00D05EB4" w:rsidRDefault="002E6F78" w:rsidP="001636BB">
      <w:pPr>
        <w:pStyle w:val="Heading2"/>
        <w:spacing w:line="240" w:lineRule="auto"/>
        <w:rPr>
          <w:rFonts w:ascii="Times New Roman" w:hAnsi="Times New Roman" w:cs="Times New Roman"/>
          <w:b/>
          <w:bCs/>
          <w:color w:val="385623" w:themeColor="accent6" w:themeShade="80"/>
        </w:rPr>
      </w:pPr>
      <w:bookmarkStart w:id="4" w:name="_Toc71547922"/>
      <w:r w:rsidRPr="00D05EB4">
        <w:rPr>
          <w:rFonts w:ascii="Times New Roman" w:hAnsi="Times New Roman" w:cs="Times New Roman"/>
          <w:b/>
          <w:bCs/>
          <w:color w:val="385623" w:themeColor="accent6" w:themeShade="80"/>
        </w:rPr>
        <w:t>Climate Change and New York State</w:t>
      </w:r>
      <w:bookmarkEnd w:id="4"/>
    </w:p>
    <w:p w14:paraId="3EC6E6E1" w14:textId="177F7138" w:rsidR="00CB0A7D" w:rsidRPr="00CB0A7D" w:rsidRDefault="00CB0A7D" w:rsidP="00CB0A7D">
      <w:pPr>
        <w:tabs>
          <w:tab w:val="left" w:pos="3990"/>
        </w:tabs>
        <w:spacing w:line="240" w:lineRule="auto"/>
        <w:jc w:val="both"/>
        <w:rPr>
          <w:rFonts w:ascii="Times New Roman" w:hAnsi="Times New Roman" w:cs="Times New Roman"/>
          <w:sz w:val="24"/>
          <w:szCs w:val="24"/>
        </w:rPr>
      </w:pPr>
      <w:r w:rsidRPr="00CB0A7D">
        <w:rPr>
          <w:rFonts w:ascii="Times New Roman" w:hAnsi="Times New Roman" w:cs="Times New Roman"/>
          <w:sz w:val="24"/>
          <w:szCs w:val="24"/>
        </w:rPr>
        <w:t xml:space="preserve">Climate change is related to greenhouse gases (GHG) emissions. While there are other greenhouse gases, carbon dioxide, methane, and nitrous oxide are the most common and therefore the focus of this inventory. These gases are emitted when fossil fuels are burned in a vehicle’s engine e.g., gasoline, diesel, kerosene and during the production of electricity from fossil fuels e.g., compressed natural gas, coal, crude oil. Greenhouse gases are harmful to the atmosphere and increase the earth’s average temperature which in turn impacts the climate patterns and life on earth. This effect is identified as global warming and measured in terms of global warming potential (GWP) in carbon dioxide equivalent. Global warming is the catchphrase to describe climate change impacts. </w:t>
      </w:r>
      <w:r w:rsidR="00521FD0">
        <w:rPr>
          <w:rFonts w:ascii="Times New Roman" w:hAnsi="Times New Roman" w:cs="Times New Roman"/>
          <w:sz w:val="24"/>
          <w:szCs w:val="24"/>
        </w:rPr>
        <w:t>According to</w:t>
      </w:r>
      <w:r w:rsidR="00521FD0">
        <w:rPr>
          <w:rFonts w:ascii="Times New Roman" w:hAnsi="Times New Roman" w:cs="Times New Roman"/>
          <w:sz w:val="24"/>
          <w:szCs w:val="24"/>
        </w:rPr>
        <w:t xml:space="preserve"> the New York State</w:t>
      </w:r>
      <w:r w:rsidR="00521FD0">
        <w:rPr>
          <w:rFonts w:ascii="Times New Roman" w:hAnsi="Times New Roman" w:cs="Times New Roman"/>
          <w:sz w:val="24"/>
          <w:szCs w:val="24"/>
        </w:rPr>
        <w:t xml:space="preserve"> Department of Environmental Conservation (DEC)</w:t>
      </w:r>
      <w:r w:rsidR="00521FD0">
        <w:rPr>
          <w:rFonts w:ascii="Times New Roman" w:hAnsi="Times New Roman" w:cs="Times New Roman"/>
          <w:sz w:val="24"/>
          <w:szCs w:val="24"/>
        </w:rPr>
        <w:t xml:space="preserve">, </w:t>
      </w:r>
      <w:r w:rsidRPr="00CB0A7D">
        <w:rPr>
          <w:rFonts w:ascii="Times New Roman" w:hAnsi="Times New Roman" w:cs="Times New Roman"/>
          <w:sz w:val="24"/>
          <w:szCs w:val="24"/>
        </w:rPr>
        <w:t>Climate Change is impacting New York State in the following ways:</w:t>
      </w:r>
    </w:p>
    <w:p w14:paraId="1AF7E0DB" w14:textId="1709DC23" w:rsidR="002E6F78" w:rsidRPr="00705E93" w:rsidRDefault="002E6F78" w:rsidP="001636BB">
      <w:pPr>
        <w:pStyle w:val="ListParagraph"/>
        <w:numPr>
          <w:ilvl w:val="0"/>
          <w:numId w:val="5"/>
        </w:numPr>
        <w:tabs>
          <w:tab w:val="left" w:pos="3990"/>
        </w:tabs>
        <w:spacing w:line="240" w:lineRule="auto"/>
        <w:jc w:val="both"/>
        <w:rPr>
          <w:rFonts w:ascii="Times New Roman" w:hAnsi="Times New Roman" w:cs="Times New Roman"/>
          <w:sz w:val="24"/>
          <w:szCs w:val="24"/>
        </w:rPr>
      </w:pPr>
      <w:r w:rsidRPr="00705E93">
        <w:rPr>
          <w:rFonts w:ascii="Times New Roman" w:hAnsi="Times New Roman" w:cs="Times New Roman"/>
          <w:sz w:val="24"/>
          <w:szCs w:val="24"/>
        </w:rPr>
        <w:lastRenderedPageBreak/>
        <w:t xml:space="preserve">Annual average temperature </w:t>
      </w:r>
      <w:proofErr w:type="gramStart"/>
      <w:r w:rsidRPr="00705E93">
        <w:rPr>
          <w:rFonts w:ascii="Times New Roman" w:hAnsi="Times New Roman" w:cs="Times New Roman"/>
          <w:sz w:val="24"/>
          <w:szCs w:val="24"/>
        </w:rPr>
        <w:t>rise</w:t>
      </w:r>
      <w:proofErr w:type="gramEnd"/>
      <w:r w:rsidRPr="00705E93">
        <w:rPr>
          <w:rFonts w:ascii="Times New Roman" w:hAnsi="Times New Roman" w:cs="Times New Roman"/>
          <w:sz w:val="24"/>
          <w:szCs w:val="24"/>
        </w:rPr>
        <w:t xml:space="preserve"> of 2.4-degree Fahrenheit since 1970</w:t>
      </w:r>
      <w:r w:rsidR="3DD766B9" w:rsidRPr="405F0C87">
        <w:rPr>
          <w:rFonts w:ascii="Times New Roman" w:hAnsi="Times New Roman" w:cs="Times New Roman"/>
          <w:sz w:val="24"/>
          <w:szCs w:val="24"/>
        </w:rPr>
        <w:t>.</w:t>
      </w:r>
      <w:r w:rsidRPr="00705E93">
        <w:rPr>
          <w:rFonts w:ascii="Times New Roman" w:hAnsi="Times New Roman" w:cs="Times New Roman"/>
          <w:sz w:val="24"/>
          <w:szCs w:val="24"/>
        </w:rPr>
        <w:t> </w:t>
      </w:r>
    </w:p>
    <w:p w14:paraId="3279FA17" w14:textId="77777777" w:rsidR="002E6F78" w:rsidRPr="00705E93" w:rsidRDefault="002E6F78" w:rsidP="001636BB">
      <w:pPr>
        <w:pStyle w:val="ListParagraph"/>
        <w:numPr>
          <w:ilvl w:val="0"/>
          <w:numId w:val="5"/>
        </w:numPr>
        <w:tabs>
          <w:tab w:val="left" w:pos="3990"/>
        </w:tabs>
        <w:spacing w:line="240" w:lineRule="auto"/>
        <w:jc w:val="both"/>
        <w:rPr>
          <w:rFonts w:ascii="Times New Roman" w:hAnsi="Times New Roman" w:cs="Times New Roman"/>
          <w:sz w:val="24"/>
          <w:szCs w:val="24"/>
        </w:rPr>
      </w:pPr>
      <w:r w:rsidRPr="00705E93">
        <w:rPr>
          <w:rFonts w:ascii="Times New Roman" w:hAnsi="Times New Roman" w:cs="Times New Roman"/>
          <w:sz w:val="24"/>
          <w:szCs w:val="24"/>
        </w:rPr>
        <w:t xml:space="preserve">More rain </w:t>
      </w:r>
      <w:r>
        <w:rPr>
          <w:rFonts w:ascii="Times New Roman" w:hAnsi="Times New Roman" w:cs="Times New Roman"/>
          <w:sz w:val="24"/>
          <w:szCs w:val="24"/>
        </w:rPr>
        <w:t>and</w:t>
      </w:r>
      <w:r w:rsidRPr="00705E93">
        <w:rPr>
          <w:rFonts w:ascii="Times New Roman" w:hAnsi="Times New Roman" w:cs="Times New Roman"/>
          <w:sz w:val="24"/>
          <w:szCs w:val="24"/>
        </w:rPr>
        <w:t xml:space="preserve"> snow in winter and less</w:t>
      </w:r>
      <w:r>
        <w:rPr>
          <w:rFonts w:ascii="Times New Roman" w:hAnsi="Times New Roman" w:cs="Times New Roman"/>
          <w:sz w:val="24"/>
          <w:szCs w:val="24"/>
        </w:rPr>
        <w:t xml:space="preserve"> rain</w:t>
      </w:r>
      <w:r w:rsidRPr="00705E93">
        <w:rPr>
          <w:rFonts w:ascii="Times New Roman" w:hAnsi="Times New Roman" w:cs="Times New Roman"/>
          <w:sz w:val="24"/>
          <w:szCs w:val="24"/>
        </w:rPr>
        <w:t xml:space="preserve"> in summer</w:t>
      </w:r>
      <w:r>
        <w:rPr>
          <w:rFonts w:ascii="Times New Roman" w:hAnsi="Times New Roman" w:cs="Times New Roman"/>
          <w:sz w:val="24"/>
          <w:szCs w:val="24"/>
        </w:rPr>
        <w:t>;</w:t>
      </w:r>
      <w:r w:rsidRPr="00705E93">
        <w:rPr>
          <w:rFonts w:ascii="Times New Roman" w:hAnsi="Times New Roman" w:cs="Times New Roman"/>
          <w:sz w:val="24"/>
          <w:szCs w:val="24"/>
        </w:rPr>
        <w:t xml:space="preserve"> increased precipitation with frequent storms</w:t>
      </w:r>
    </w:p>
    <w:p w14:paraId="0C7C179B" w14:textId="77777777" w:rsidR="002E6F78" w:rsidRPr="00705E93" w:rsidRDefault="002E6F78" w:rsidP="001636BB">
      <w:pPr>
        <w:pStyle w:val="ListParagraph"/>
        <w:numPr>
          <w:ilvl w:val="0"/>
          <w:numId w:val="5"/>
        </w:numPr>
        <w:tabs>
          <w:tab w:val="left" w:pos="3990"/>
        </w:tabs>
        <w:spacing w:line="240" w:lineRule="auto"/>
        <w:jc w:val="both"/>
        <w:rPr>
          <w:rFonts w:ascii="Times New Roman" w:hAnsi="Times New Roman" w:cs="Times New Roman"/>
          <w:sz w:val="24"/>
          <w:szCs w:val="24"/>
        </w:rPr>
      </w:pPr>
      <w:r w:rsidRPr="00705E93">
        <w:rPr>
          <w:rFonts w:ascii="Times New Roman" w:hAnsi="Times New Roman" w:cs="Times New Roman"/>
          <w:sz w:val="24"/>
          <w:szCs w:val="24"/>
        </w:rPr>
        <w:t>By 2100 sea levels will be 18-50 inches higher than current sea levels along NYS coastlines</w:t>
      </w:r>
    </w:p>
    <w:p w14:paraId="0FA24138" w14:textId="77777777" w:rsidR="002E6F78" w:rsidRPr="00705E93" w:rsidRDefault="002E6F78" w:rsidP="001636BB">
      <w:pPr>
        <w:pStyle w:val="ListParagraph"/>
        <w:numPr>
          <w:ilvl w:val="0"/>
          <w:numId w:val="5"/>
        </w:numPr>
        <w:tabs>
          <w:tab w:val="left" w:pos="3990"/>
        </w:tabs>
        <w:spacing w:line="240" w:lineRule="auto"/>
        <w:jc w:val="both"/>
        <w:rPr>
          <w:rFonts w:ascii="Times New Roman" w:hAnsi="Times New Roman" w:cs="Times New Roman"/>
          <w:sz w:val="24"/>
          <w:szCs w:val="24"/>
        </w:rPr>
      </w:pPr>
      <w:r w:rsidRPr="00705E93">
        <w:rPr>
          <w:rFonts w:ascii="Times New Roman" w:hAnsi="Times New Roman" w:cs="Times New Roman"/>
          <w:sz w:val="24"/>
          <w:szCs w:val="24"/>
        </w:rPr>
        <w:t>Change in weather patterns (spring begins a week earlier and first leaf date is more than 8 days earlier)</w:t>
      </w:r>
    </w:p>
    <w:p w14:paraId="5EACC5C0" w14:textId="113DB502" w:rsidR="002E6F78" w:rsidRPr="00705E93" w:rsidRDefault="002E6F78" w:rsidP="001636BB">
      <w:pPr>
        <w:pStyle w:val="ListParagraph"/>
        <w:numPr>
          <w:ilvl w:val="0"/>
          <w:numId w:val="5"/>
        </w:numPr>
        <w:tabs>
          <w:tab w:val="left" w:pos="3990"/>
        </w:tabs>
        <w:spacing w:line="240" w:lineRule="auto"/>
        <w:jc w:val="both"/>
        <w:rPr>
          <w:rFonts w:ascii="Times New Roman" w:hAnsi="Times New Roman" w:cs="Times New Roman"/>
          <w:sz w:val="24"/>
          <w:szCs w:val="24"/>
        </w:rPr>
      </w:pPr>
      <w:r w:rsidRPr="00705E93">
        <w:rPr>
          <w:rFonts w:ascii="Times New Roman" w:hAnsi="Times New Roman" w:cs="Times New Roman"/>
          <w:sz w:val="24"/>
          <w:szCs w:val="24"/>
        </w:rPr>
        <w:t>Heat waves can cause heat strokes and other health complications</w:t>
      </w:r>
      <w:r w:rsidR="29840BC7" w:rsidRPr="405F0C87">
        <w:rPr>
          <w:rFonts w:ascii="Times New Roman" w:hAnsi="Times New Roman" w:cs="Times New Roman"/>
          <w:sz w:val="24"/>
          <w:szCs w:val="24"/>
        </w:rPr>
        <w:t>.</w:t>
      </w:r>
    </w:p>
    <w:p w14:paraId="252B50BC" w14:textId="77777777" w:rsidR="002E6F78" w:rsidRPr="00705E93" w:rsidRDefault="002E6F78" w:rsidP="001636BB">
      <w:pPr>
        <w:pStyle w:val="ListParagraph"/>
        <w:numPr>
          <w:ilvl w:val="0"/>
          <w:numId w:val="5"/>
        </w:numPr>
        <w:tabs>
          <w:tab w:val="left" w:pos="3990"/>
        </w:tabs>
        <w:spacing w:line="240" w:lineRule="auto"/>
        <w:jc w:val="both"/>
        <w:rPr>
          <w:rFonts w:ascii="Times New Roman" w:hAnsi="Times New Roman" w:cs="Times New Roman"/>
          <w:sz w:val="24"/>
          <w:szCs w:val="24"/>
        </w:rPr>
      </w:pPr>
      <w:r w:rsidRPr="00705E93">
        <w:rPr>
          <w:rFonts w:ascii="Times New Roman" w:hAnsi="Times New Roman" w:cs="Times New Roman"/>
          <w:sz w:val="24"/>
          <w:szCs w:val="24"/>
        </w:rPr>
        <w:t>Disruptions to agriculture from frequent droughts and flooding</w:t>
      </w:r>
    </w:p>
    <w:p w14:paraId="674D9305" w14:textId="7CCE49C3" w:rsidR="002E6F78" w:rsidRPr="002E6F78" w:rsidRDefault="002E6F78" w:rsidP="001636BB">
      <w:pPr>
        <w:spacing w:before="240" w:after="240" w:line="240" w:lineRule="auto"/>
        <w:jc w:val="both"/>
        <w:rPr>
          <w:rFonts w:ascii="Times New Roman" w:eastAsia="Times New Roman" w:hAnsi="Times New Roman" w:cs="Times New Roman"/>
          <w:color w:val="000000"/>
          <w:sz w:val="24"/>
          <w:szCs w:val="24"/>
        </w:rPr>
      </w:pPr>
      <w:r w:rsidRPr="000E76CA">
        <w:rPr>
          <w:rFonts w:ascii="Times New Roman" w:eastAsia="Times New Roman" w:hAnsi="Times New Roman" w:cs="Times New Roman"/>
          <w:color w:val="000000"/>
          <w:sz w:val="24"/>
          <w:szCs w:val="24"/>
        </w:rPr>
        <w:t xml:space="preserve">According to the Fifth Assessment Report (AR5) of the Intergovernmental Panel on Climate Change (IPCC), the average global temperature increase should not be more than 1.5 °C above pre-industrial levels to reduce the drastic impacts of climate change on our lives (AR5 report, 2014). AR5 pushed governments across the world to initiate measures that can reduce global warming and in turn keep the average global temperature rise below 1.5 °C. In the United States, the replacement of fossil fuel-based electricity generation systems with renewable energy became the focus of government policies. </w:t>
      </w:r>
      <w:r w:rsidRPr="00D150C5">
        <w:rPr>
          <w:rFonts w:ascii="Times New Roman" w:eastAsia="Times New Roman" w:hAnsi="Times New Roman" w:cs="Times New Roman"/>
          <w:color w:val="000000"/>
          <w:sz w:val="24"/>
          <w:szCs w:val="24"/>
        </w:rPr>
        <w:t xml:space="preserve">The Pathways to Deep Decarbonization in New York State 2020 study which is commonly referred to as the E3 report is the baseline document outlining the climate targets of New York State. NYS adopted the Climate Leadership and Community Protection Act (CLCPA) in 2019 </w:t>
      </w:r>
      <w:r w:rsidR="00733CD3">
        <w:rPr>
          <w:rFonts w:ascii="Times New Roman" w:eastAsia="Times New Roman" w:hAnsi="Times New Roman" w:cs="Times New Roman"/>
          <w:color w:val="000000"/>
          <w:sz w:val="24"/>
          <w:szCs w:val="24"/>
        </w:rPr>
        <w:t xml:space="preserve">and </w:t>
      </w:r>
      <w:r w:rsidRPr="00D150C5">
        <w:rPr>
          <w:rFonts w:ascii="Times New Roman" w:eastAsia="Times New Roman" w:hAnsi="Times New Roman" w:cs="Times New Roman"/>
          <w:color w:val="000000"/>
          <w:sz w:val="24"/>
          <w:szCs w:val="24"/>
        </w:rPr>
        <w:t xml:space="preserve">set climate targets </w:t>
      </w:r>
      <w:r w:rsidR="00733CD3">
        <w:rPr>
          <w:rFonts w:ascii="Times New Roman" w:hAnsi="Times New Roman" w:cs="Times New Roman"/>
          <w:sz w:val="24"/>
          <w:szCs w:val="24"/>
        </w:rPr>
        <w:t xml:space="preserve">of </w:t>
      </w:r>
      <w:r w:rsidR="00733CD3" w:rsidRPr="00733CD3">
        <w:rPr>
          <w:rFonts w:ascii="Times New Roman" w:hAnsi="Times New Roman" w:cs="Times New Roman"/>
          <w:sz w:val="24"/>
          <w:szCs w:val="24"/>
        </w:rPr>
        <w:t>85% emissions reduction from 1990 levels by 2050</w:t>
      </w:r>
      <w:r w:rsidR="00733CD3" w:rsidRPr="00733CD3">
        <w:rPr>
          <w:rFonts w:ascii="Times New Roman" w:eastAsia="Times New Roman" w:hAnsi="Times New Roman" w:cs="Times New Roman"/>
          <w:color w:val="000000"/>
          <w:sz w:val="28"/>
          <w:szCs w:val="28"/>
        </w:rPr>
        <w:t xml:space="preserve"> </w:t>
      </w:r>
      <w:r w:rsidRPr="00D150C5">
        <w:rPr>
          <w:rFonts w:ascii="Times New Roman" w:eastAsia="Times New Roman" w:hAnsi="Times New Roman" w:cs="Times New Roman"/>
          <w:color w:val="000000"/>
          <w:sz w:val="24"/>
          <w:szCs w:val="24"/>
        </w:rPr>
        <w:t>(E3 report, 2020). According to CLCPA, NYS target is to produce 70% of electricity from renewable resources and to reduce GHG emissions by 40% below the 1990 level by 2030 (E3 report, 2020). NYS further set a target in CLCPA to achieve zero emissions electricity by 2040.</w:t>
      </w:r>
    </w:p>
    <w:p w14:paraId="0224CE9D" w14:textId="19EE555D" w:rsidR="000563F7" w:rsidRPr="00D05EB4" w:rsidRDefault="00F44A78" w:rsidP="001636BB">
      <w:pPr>
        <w:pStyle w:val="Heading1"/>
        <w:spacing w:line="240" w:lineRule="auto"/>
        <w:rPr>
          <w:rFonts w:ascii="Times New Roman" w:hAnsi="Times New Roman" w:cs="Times New Roman"/>
          <w:b/>
          <w:bCs/>
          <w:color w:val="385623" w:themeColor="accent6" w:themeShade="80"/>
        </w:rPr>
      </w:pPr>
      <w:bookmarkStart w:id="5" w:name="_Toc71547923"/>
      <w:r w:rsidRPr="00D05EB4">
        <w:rPr>
          <w:rFonts w:ascii="Times New Roman" w:hAnsi="Times New Roman" w:cs="Times New Roman"/>
          <w:b/>
          <w:bCs/>
          <w:color w:val="385623" w:themeColor="accent6" w:themeShade="80"/>
        </w:rPr>
        <w:t>Methodology</w:t>
      </w:r>
      <w:bookmarkEnd w:id="5"/>
    </w:p>
    <w:p w14:paraId="6A417C28" w14:textId="77777777" w:rsidR="007837D8" w:rsidRPr="007837D8" w:rsidRDefault="007837D8" w:rsidP="007837D8">
      <w:pPr>
        <w:spacing w:line="240" w:lineRule="auto"/>
        <w:jc w:val="both"/>
        <w:rPr>
          <w:rFonts w:ascii="Times New Roman" w:hAnsi="Times New Roman" w:cs="Times New Roman"/>
          <w:sz w:val="24"/>
          <w:szCs w:val="24"/>
        </w:rPr>
      </w:pPr>
      <w:r w:rsidRPr="007837D8">
        <w:rPr>
          <w:rFonts w:ascii="Times New Roman" w:eastAsia="Times New Roman" w:hAnsi="Times New Roman" w:cs="Times New Roman"/>
          <w:color w:val="000000"/>
          <w:sz w:val="24"/>
          <w:szCs w:val="24"/>
        </w:rPr>
        <w:t>This greenhouse gas inventory for the Town of Manlius municipal operations is consistent with the requirements of the Climate Smart Communities (CSC) Certification program. Our group</w:t>
      </w:r>
      <w:r w:rsidRPr="007837D8">
        <w:rPr>
          <w:rFonts w:ascii="Times New Roman" w:hAnsi="Times New Roman" w:cs="Times New Roman"/>
          <w:sz w:val="24"/>
          <w:szCs w:val="24"/>
        </w:rPr>
        <w:t xml:space="preserve"> used the ICLEI Local Government Operations Protocol to understand the scope of GHG emissions that needs to be included or excluded in this project. There are three kinds of emissions that the ICLEI protocol recommends considering when a community or town wants to participate in the CSC Certification Program. These emissions are:</w:t>
      </w:r>
    </w:p>
    <w:p w14:paraId="76FF81F6" w14:textId="15901182" w:rsidR="002450AF" w:rsidRPr="006118C1" w:rsidRDefault="002450AF" w:rsidP="001636BB">
      <w:pPr>
        <w:pStyle w:val="ListParagraph"/>
        <w:numPr>
          <w:ilvl w:val="0"/>
          <w:numId w:val="2"/>
        </w:numPr>
        <w:spacing w:line="240" w:lineRule="auto"/>
        <w:jc w:val="both"/>
        <w:rPr>
          <w:rFonts w:ascii="Times New Roman" w:hAnsi="Times New Roman" w:cs="Times New Roman"/>
          <w:sz w:val="24"/>
          <w:szCs w:val="24"/>
        </w:rPr>
      </w:pPr>
      <w:r w:rsidRPr="006118C1">
        <w:rPr>
          <w:rFonts w:ascii="Times New Roman" w:hAnsi="Times New Roman" w:cs="Times New Roman"/>
          <w:sz w:val="24"/>
          <w:szCs w:val="24"/>
        </w:rPr>
        <w:t>Scope 1 - All direct GHG</w:t>
      </w:r>
      <w:r w:rsidRPr="006118C1">
        <w:rPr>
          <w:rFonts w:ascii="Times New Roman" w:hAnsi="Times New Roman" w:cs="Times New Roman"/>
          <w:sz w:val="28"/>
          <w:szCs w:val="28"/>
        </w:rPr>
        <w:t xml:space="preserve"> </w:t>
      </w:r>
      <w:r w:rsidRPr="006118C1">
        <w:rPr>
          <w:rFonts w:ascii="Times New Roman" w:hAnsi="Times New Roman" w:cs="Times New Roman"/>
          <w:sz w:val="24"/>
          <w:szCs w:val="24"/>
        </w:rPr>
        <w:t xml:space="preserve">emissions from equipment owned by </w:t>
      </w:r>
      <w:r w:rsidR="00A71429" w:rsidRPr="006118C1">
        <w:rPr>
          <w:rFonts w:ascii="Times New Roman" w:hAnsi="Times New Roman" w:cs="Times New Roman"/>
          <w:sz w:val="24"/>
          <w:szCs w:val="24"/>
        </w:rPr>
        <w:t>the community</w:t>
      </w:r>
      <w:r w:rsidRPr="006118C1">
        <w:rPr>
          <w:rFonts w:ascii="Times New Roman" w:hAnsi="Times New Roman" w:cs="Times New Roman"/>
          <w:sz w:val="24"/>
          <w:szCs w:val="24"/>
        </w:rPr>
        <w:t xml:space="preserve"> e.g., boilers, direct combustion, furnaces</w:t>
      </w:r>
      <w:r w:rsidRPr="006118C1">
        <w:rPr>
          <w:rFonts w:ascii="Times New Roman" w:hAnsi="Times New Roman" w:cs="Times New Roman"/>
          <w:sz w:val="28"/>
          <w:szCs w:val="28"/>
        </w:rPr>
        <w:t xml:space="preserve"> </w:t>
      </w:r>
      <w:r w:rsidRPr="006118C1">
        <w:rPr>
          <w:rFonts w:ascii="Times New Roman" w:hAnsi="Times New Roman" w:cs="Times New Roman"/>
          <w:sz w:val="24"/>
          <w:szCs w:val="24"/>
        </w:rPr>
        <w:t>(</w:t>
      </w:r>
      <w:r w:rsidR="00CF7C01">
        <w:rPr>
          <w:rFonts w:ascii="Times New Roman" w:hAnsi="Times New Roman" w:cs="Times New Roman"/>
          <w:sz w:val="24"/>
          <w:szCs w:val="24"/>
        </w:rPr>
        <w:t>except</w:t>
      </w:r>
      <w:r w:rsidRPr="006118C1">
        <w:rPr>
          <w:rFonts w:ascii="Times New Roman" w:hAnsi="Times New Roman" w:cs="Times New Roman"/>
          <w:sz w:val="24"/>
          <w:szCs w:val="24"/>
        </w:rPr>
        <w:t xml:space="preserve"> direct CO</w:t>
      </w:r>
      <w:r w:rsidRPr="006118C1">
        <w:rPr>
          <w:rFonts w:ascii="Times New Roman" w:hAnsi="Times New Roman" w:cs="Times New Roman"/>
          <w:sz w:val="24"/>
          <w:szCs w:val="24"/>
          <w:vertAlign w:val="subscript"/>
        </w:rPr>
        <w:t xml:space="preserve">2 </w:t>
      </w:r>
      <w:r w:rsidRPr="006118C1">
        <w:rPr>
          <w:rFonts w:ascii="Times New Roman" w:hAnsi="Times New Roman" w:cs="Times New Roman"/>
          <w:sz w:val="24"/>
          <w:szCs w:val="24"/>
        </w:rPr>
        <w:t>emissions from biogenic sources).</w:t>
      </w:r>
    </w:p>
    <w:p w14:paraId="3A00D66D" w14:textId="2A89855B" w:rsidR="002450AF" w:rsidRPr="006118C1" w:rsidRDefault="002450AF" w:rsidP="001636BB">
      <w:pPr>
        <w:pStyle w:val="ListParagraph"/>
        <w:numPr>
          <w:ilvl w:val="0"/>
          <w:numId w:val="2"/>
        </w:numPr>
        <w:spacing w:line="240" w:lineRule="auto"/>
        <w:jc w:val="both"/>
        <w:rPr>
          <w:rFonts w:ascii="Times New Roman" w:hAnsi="Times New Roman" w:cs="Times New Roman"/>
          <w:sz w:val="24"/>
          <w:szCs w:val="24"/>
        </w:rPr>
      </w:pPr>
      <w:r w:rsidRPr="006118C1">
        <w:rPr>
          <w:rFonts w:ascii="Times New Roman" w:hAnsi="Times New Roman" w:cs="Times New Roman"/>
          <w:sz w:val="24"/>
          <w:szCs w:val="24"/>
        </w:rPr>
        <w:t>Scope 2 - Indirect GHG emissions associated with the consumption of purchased or acquired electricity, steam, heating, or cooling for municipal operations.</w:t>
      </w:r>
    </w:p>
    <w:p w14:paraId="78CDC8E0" w14:textId="56F0AA81" w:rsidR="002450AF" w:rsidRPr="002450AF" w:rsidRDefault="002450AF" w:rsidP="001636BB">
      <w:pPr>
        <w:pStyle w:val="ListParagraph"/>
        <w:numPr>
          <w:ilvl w:val="0"/>
          <w:numId w:val="2"/>
        </w:numPr>
        <w:spacing w:line="240" w:lineRule="auto"/>
        <w:jc w:val="both"/>
      </w:pPr>
      <w:r w:rsidRPr="006118C1">
        <w:rPr>
          <w:rFonts w:ascii="Times New Roman" w:hAnsi="Times New Roman" w:cs="Times New Roman"/>
          <w:sz w:val="24"/>
          <w:szCs w:val="24"/>
        </w:rPr>
        <w:t>Scope 3 - All other indirect emissions not covered in Scope 2, such as emissions from vehicles not owned or controlled by the city (e.g., employee commutes), waste disposal, or emissions from agriculture, land management, and urban forestry.</w:t>
      </w:r>
    </w:p>
    <w:p w14:paraId="35F22E43" w14:textId="43A0666F" w:rsidR="00F94D01" w:rsidRDefault="00A71429" w:rsidP="001636B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project </w:t>
      </w:r>
      <w:r w:rsidR="002E6F78">
        <w:rPr>
          <w:rFonts w:ascii="Times New Roman" w:hAnsi="Times New Roman" w:cs="Times New Roman"/>
          <w:sz w:val="24"/>
          <w:szCs w:val="24"/>
        </w:rPr>
        <w:t>focused</w:t>
      </w:r>
      <w:r>
        <w:rPr>
          <w:rFonts w:ascii="Times New Roman" w:hAnsi="Times New Roman" w:cs="Times New Roman"/>
          <w:sz w:val="24"/>
          <w:szCs w:val="24"/>
        </w:rPr>
        <w:t xml:space="preserve"> on </w:t>
      </w:r>
      <w:r w:rsidR="00FF6EDC">
        <w:rPr>
          <w:rFonts w:ascii="Times New Roman" w:hAnsi="Times New Roman" w:cs="Times New Roman"/>
          <w:sz w:val="24"/>
          <w:szCs w:val="24"/>
        </w:rPr>
        <w:t>scope 1</w:t>
      </w:r>
      <w:r w:rsidR="001A5EE6">
        <w:rPr>
          <w:rFonts w:ascii="Times New Roman" w:hAnsi="Times New Roman" w:cs="Times New Roman"/>
          <w:sz w:val="24"/>
          <w:szCs w:val="24"/>
        </w:rPr>
        <w:t xml:space="preserve"> and</w:t>
      </w:r>
      <w:r w:rsidR="00FF6EDC">
        <w:rPr>
          <w:rFonts w:ascii="Times New Roman" w:hAnsi="Times New Roman" w:cs="Times New Roman"/>
          <w:sz w:val="24"/>
          <w:szCs w:val="24"/>
        </w:rPr>
        <w:t xml:space="preserve"> scope 2 GHG emissions excluding </w:t>
      </w:r>
      <w:r>
        <w:rPr>
          <w:rFonts w:ascii="Times New Roman" w:hAnsi="Times New Roman" w:cs="Times New Roman"/>
          <w:sz w:val="24"/>
          <w:szCs w:val="24"/>
        </w:rPr>
        <w:t xml:space="preserve">the </w:t>
      </w:r>
      <w:r w:rsidR="00FF6EDC">
        <w:rPr>
          <w:rFonts w:ascii="Times New Roman" w:hAnsi="Times New Roman" w:cs="Times New Roman"/>
          <w:sz w:val="24"/>
          <w:szCs w:val="24"/>
        </w:rPr>
        <w:t>scope 3 emissions.</w:t>
      </w:r>
      <w:r w:rsidR="00445609">
        <w:rPr>
          <w:rFonts w:ascii="Times New Roman" w:hAnsi="Times New Roman" w:cs="Times New Roman"/>
          <w:sz w:val="24"/>
          <w:szCs w:val="24"/>
        </w:rPr>
        <w:t xml:space="preserve"> </w:t>
      </w:r>
      <w:r w:rsidR="00445609" w:rsidRPr="405F0C87">
        <w:rPr>
          <w:rFonts w:ascii="Times New Roman" w:hAnsi="Times New Roman" w:cs="Times New Roman"/>
          <w:sz w:val="24"/>
          <w:szCs w:val="24"/>
        </w:rPr>
        <w:t>The</w:t>
      </w:r>
      <w:r w:rsidR="00EA058D">
        <w:rPr>
          <w:rFonts w:ascii="Times New Roman" w:hAnsi="Times New Roman" w:cs="Times New Roman"/>
          <w:sz w:val="24"/>
          <w:szCs w:val="24"/>
        </w:rPr>
        <w:t xml:space="preserve"> </w:t>
      </w:r>
      <w:r w:rsidR="1E682F8C" w:rsidRPr="405F0C87">
        <w:rPr>
          <w:rFonts w:ascii="Times New Roman" w:hAnsi="Times New Roman" w:cs="Times New Roman"/>
          <w:sz w:val="24"/>
          <w:szCs w:val="24"/>
        </w:rPr>
        <w:t>United States</w:t>
      </w:r>
      <w:r w:rsidR="00EA058D">
        <w:rPr>
          <w:rFonts w:ascii="Times New Roman" w:hAnsi="Times New Roman" w:cs="Times New Roman"/>
          <w:sz w:val="24"/>
          <w:szCs w:val="24"/>
        </w:rPr>
        <w:t xml:space="preserve"> </w:t>
      </w:r>
      <w:r w:rsidR="00445609">
        <w:rPr>
          <w:rFonts w:ascii="Times New Roman" w:hAnsi="Times New Roman" w:cs="Times New Roman"/>
          <w:sz w:val="24"/>
          <w:szCs w:val="24"/>
        </w:rPr>
        <w:t>Environmental Protection Agency’s Local Greenhouse Gas Inventory Tool Government Operations Module w</w:t>
      </w:r>
      <w:r w:rsidR="002E6F78">
        <w:rPr>
          <w:rFonts w:ascii="Times New Roman" w:hAnsi="Times New Roman" w:cs="Times New Roman"/>
          <w:sz w:val="24"/>
          <w:szCs w:val="24"/>
        </w:rPr>
        <w:t>as</w:t>
      </w:r>
      <w:r w:rsidR="00445609">
        <w:rPr>
          <w:rFonts w:ascii="Times New Roman" w:hAnsi="Times New Roman" w:cs="Times New Roman"/>
          <w:sz w:val="24"/>
          <w:szCs w:val="24"/>
        </w:rPr>
        <w:t xml:space="preserve"> used for calculating the greenhouse gas emissions of the Town of Manlius for the year 2019.</w:t>
      </w:r>
      <w:r w:rsidR="00CF0134">
        <w:rPr>
          <w:rFonts w:ascii="Times New Roman" w:hAnsi="Times New Roman" w:cs="Times New Roman"/>
          <w:sz w:val="24"/>
          <w:szCs w:val="24"/>
        </w:rPr>
        <w:t xml:space="preserve"> </w:t>
      </w:r>
      <w:r w:rsidR="00F94D01">
        <w:rPr>
          <w:rFonts w:ascii="Times New Roman" w:hAnsi="Times New Roman" w:cs="Times New Roman"/>
          <w:sz w:val="24"/>
          <w:szCs w:val="24"/>
        </w:rPr>
        <w:t xml:space="preserve">These steps </w:t>
      </w:r>
      <w:r w:rsidR="002E6F78">
        <w:rPr>
          <w:rFonts w:ascii="Times New Roman" w:hAnsi="Times New Roman" w:cs="Times New Roman"/>
          <w:sz w:val="24"/>
          <w:szCs w:val="24"/>
        </w:rPr>
        <w:t>were</w:t>
      </w:r>
      <w:r w:rsidR="00F94D01">
        <w:rPr>
          <w:rFonts w:ascii="Times New Roman" w:hAnsi="Times New Roman" w:cs="Times New Roman"/>
          <w:sz w:val="24"/>
          <w:szCs w:val="24"/>
        </w:rPr>
        <w:t xml:space="preserve"> followed to develop the GHG inventory using </w:t>
      </w:r>
      <w:r w:rsidR="00CF7C01">
        <w:rPr>
          <w:rFonts w:ascii="Times New Roman" w:hAnsi="Times New Roman" w:cs="Times New Roman"/>
          <w:sz w:val="24"/>
          <w:szCs w:val="24"/>
        </w:rPr>
        <w:t xml:space="preserve">the </w:t>
      </w:r>
      <w:r w:rsidR="00F94D01">
        <w:rPr>
          <w:rFonts w:ascii="Times New Roman" w:hAnsi="Times New Roman" w:cs="Times New Roman"/>
          <w:sz w:val="24"/>
          <w:szCs w:val="24"/>
        </w:rPr>
        <w:t>EPA tool:</w:t>
      </w:r>
    </w:p>
    <w:p w14:paraId="5C60F703" w14:textId="3A1B0E45" w:rsidR="00F94D01" w:rsidRDefault="00F94D01" w:rsidP="001636BB">
      <w:pPr>
        <w:spacing w:line="240" w:lineRule="auto"/>
        <w:jc w:val="both"/>
        <w:rPr>
          <w:rFonts w:ascii="Times New Roman" w:hAnsi="Times New Roman" w:cs="Times New Roman"/>
          <w:sz w:val="24"/>
          <w:szCs w:val="24"/>
        </w:rPr>
      </w:pPr>
      <w:r w:rsidRPr="0056278D">
        <w:rPr>
          <w:rFonts w:ascii="Times New Roman" w:hAnsi="Times New Roman" w:cs="Times New Roman"/>
          <w:b/>
          <w:bCs/>
          <w:i/>
          <w:iCs/>
          <w:sz w:val="24"/>
          <w:szCs w:val="24"/>
        </w:rPr>
        <w:lastRenderedPageBreak/>
        <w:t>Step 1</w:t>
      </w:r>
      <w:r>
        <w:rPr>
          <w:rFonts w:ascii="Times New Roman" w:hAnsi="Times New Roman" w:cs="Times New Roman"/>
          <w:sz w:val="24"/>
          <w:szCs w:val="24"/>
        </w:rPr>
        <w:t xml:space="preserve"> – Setting up the</w:t>
      </w:r>
      <w:r w:rsidR="00162DE0">
        <w:rPr>
          <w:rFonts w:ascii="Times New Roman" w:hAnsi="Times New Roman" w:cs="Times New Roman"/>
          <w:sz w:val="24"/>
          <w:szCs w:val="24"/>
        </w:rPr>
        <w:t xml:space="preserve"> Inventory</w:t>
      </w:r>
      <w:r>
        <w:rPr>
          <w:rFonts w:ascii="Times New Roman" w:hAnsi="Times New Roman" w:cs="Times New Roman"/>
          <w:sz w:val="24"/>
          <w:szCs w:val="24"/>
        </w:rPr>
        <w:t xml:space="preserve"> </w:t>
      </w:r>
      <w:r w:rsidR="00162DE0">
        <w:rPr>
          <w:rFonts w:ascii="Times New Roman" w:hAnsi="Times New Roman" w:cs="Times New Roman"/>
          <w:sz w:val="24"/>
          <w:szCs w:val="24"/>
        </w:rPr>
        <w:t>C</w:t>
      </w:r>
      <w:r>
        <w:rPr>
          <w:rFonts w:ascii="Times New Roman" w:hAnsi="Times New Roman" w:cs="Times New Roman"/>
          <w:sz w:val="24"/>
          <w:szCs w:val="24"/>
        </w:rPr>
        <w:t xml:space="preserve">ontrol </w:t>
      </w:r>
      <w:r w:rsidR="00162DE0">
        <w:rPr>
          <w:rFonts w:ascii="Times New Roman" w:hAnsi="Times New Roman" w:cs="Times New Roman"/>
          <w:sz w:val="24"/>
          <w:szCs w:val="24"/>
        </w:rPr>
        <w:t>S</w:t>
      </w:r>
      <w:r>
        <w:rPr>
          <w:rFonts w:ascii="Times New Roman" w:hAnsi="Times New Roman" w:cs="Times New Roman"/>
          <w:sz w:val="24"/>
          <w:szCs w:val="24"/>
        </w:rPr>
        <w:t xml:space="preserve">heet and entering the </w:t>
      </w:r>
      <w:r w:rsidR="00433833">
        <w:rPr>
          <w:rFonts w:ascii="Times New Roman" w:hAnsi="Times New Roman" w:cs="Times New Roman"/>
          <w:sz w:val="24"/>
          <w:szCs w:val="24"/>
        </w:rPr>
        <w:t xml:space="preserve">basic data such as the name of </w:t>
      </w:r>
      <w:r w:rsidR="00CF7C01">
        <w:rPr>
          <w:rFonts w:ascii="Times New Roman" w:hAnsi="Times New Roman" w:cs="Times New Roman"/>
          <w:sz w:val="24"/>
          <w:szCs w:val="24"/>
        </w:rPr>
        <w:t xml:space="preserve">the </w:t>
      </w:r>
      <w:r w:rsidR="00433833">
        <w:rPr>
          <w:rFonts w:ascii="Times New Roman" w:hAnsi="Times New Roman" w:cs="Times New Roman"/>
          <w:sz w:val="24"/>
          <w:szCs w:val="24"/>
        </w:rPr>
        <w:t xml:space="preserve">municipality (the town of Manlius), the inventory year (2019), and </w:t>
      </w:r>
      <w:r w:rsidR="00CF7C01">
        <w:rPr>
          <w:rFonts w:ascii="Times New Roman" w:hAnsi="Times New Roman" w:cs="Times New Roman"/>
          <w:sz w:val="24"/>
          <w:szCs w:val="24"/>
        </w:rPr>
        <w:t xml:space="preserve">the </w:t>
      </w:r>
      <w:r w:rsidR="00433833">
        <w:rPr>
          <w:rFonts w:ascii="Times New Roman" w:hAnsi="Times New Roman" w:cs="Times New Roman"/>
          <w:sz w:val="24"/>
          <w:szCs w:val="24"/>
        </w:rPr>
        <w:t xml:space="preserve">population of </w:t>
      </w:r>
      <w:r w:rsidR="00CF7C01">
        <w:rPr>
          <w:rFonts w:ascii="Times New Roman" w:hAnsi="Times New Roman" w:cs="Times New Roman"/>
          <w:sz w:val="24"/>
          <w:szCs w:val="24"/>
        </w:rPr>
        <w:t xml:space="preserve">the </w:t>
      </w:r>
      <w:r w:rsidR="00433833">
        <w:rPr>
          <w:rFonts w:ascii="Times New Roman" w:hAnsi="Times New Roman" w:cs="Times New Roman"/>
          <w:sz w:val="24"/>
          <w:szCs w:val="24"/>
        </w:rPr>
        <w:t>town (</w:t>
      </w:r>
      <w:r w:rsidR="00150D4F">
        <w:rPr>
          <w:rFonts w:ascii="Times New Roman" w:hAnsi="Times New Roman" w:cs="Times New Roman"/>
          <w:sz w:val="24"/>
          <w:szCs w:val="24"/>
        </w:rPr>
        <w:t>19,849</w:t>
      </w:r>
      <w:r w:rsidR="00433833">
        <w:rPr>
          <w:rFonts w:ascii="Times New Roman" w:hAnsi="Times New Roman" w:cs="Times New Roman"/>
          <w:sz w:val="24"/>
          <w:szCs w:val="24"/>
        </w:rPr>
        <w:t>)</w:t>
      </w:r>
      <w:r w:rsidR="0001181A">
        <w:rPr>
          <w:rFonts w:ascii="Times New Roman" w:hAnsi="Times New Roman" w:cs="Times New Roman"/>
          <w:sz w:val="24"/>
          <w:szCs w:val="24"/>
        </w:rPr>
        <w:t>. This step is depicted in the figure below:</w:t>
      </w:r>
    </w:p>
    <w:p w14:paraId="78287F5F" w14:textId="3FEDDB70" w:rsidR="001F19F9" w:rsidRDefault="001F19F9" w:rsidP="001636BB">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48DC357" wp14:editId="0973CBA9">
            <wp:simplePos x="0" y="0"/>
            <wp:positionH relativeFrom="margin">
              <wp:posOffset>608965</wp:posOffset>
            </wp:positionH>
            <wp:positionV relativeFrom="paragraph">
              <wp:posOffset>171450</wp:posOffset>
            </wp:positionV>
            <wp:extent cx="4267200" cy="1383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267200" cy="1383030"/>
                    </a:xfrm>
                    <a:prstGeom prst="rect">
                      <a:avLst/>
                    </a:prstGeom>
                  </pic:spPr>
                </pic:pic>
              </a:graphicData>
            </a:graphic>
            <wp14:sizeRelH relativeFrom="margin">
              <wp14:pctWidth>0</wp14:pctWidth>
            </wp14:sizeRelH>
            <wp14:sizeRelV relativeFrom="margin">
              <wp14:pctHeight>0</wp14:pctHeight>
            </wp14:sizeRelV>
          </wp:anchor>
        </w:drawing>
      </w:r>
    </w:p>
    <w:p w14:paraId="15738824" w14:textId="391D9BC6" w:rsidR="001F19F9" w:rsidRDefault="001F19F9" w:rsidP="001636BB">
      <w:pPr>
        <w:spacing w:line="240" w:lineRule="auto"/>
        <w:jc w:val="both"/>
        <w:rPr>
          <w:rFonts w:ascii="Times New Roman" w:hAnsi="Times New Roman" w:cs="Times New Roman"/>
          <w:sz w:val="24"/>
          <w:szCs w:val="24"/>
        </w:rPr>
      </w:pPr>
    </w:p>
    <w:p w14:paraId="3A09A8C7" w14:textId="77777777" w:rsidR="001F19F9" w:rsidRDefault="001F19F9" w:rsidP="001636BB">
      <w:pPr>
        <w:spacing w:line="240" w:lineRule="auto"/>
        <w:jc w:val="both"/>
        <w:rPr>
          <w:rFonts w:ascii="Times New Roman" w:hAnsi="Times New Roman" w:cs="Times New Roman"/>
          <w:sz w:val="24"/>
          <w:szCs w:val="24"/>
        </w:rPr>
      </w:pPr>
    </w:p>
    <w:p w14:paraId="5905160A" w14:textId="77777777" w:rsidR="001F19F9" w:rsidRDefault="001F19F9" w:rsidP="001636BB">
      <w:pPr>
        <w:spacing w:line="240" w:lineRule="auto"/>
        <w:jc w:val="both"/>
        <w:rPr>
          <w:rFonts w:ascii="Times New Roman" w:hAnsi="Times New Roman" w:cs="Times New Roman"/>
          <w:sz w:val="24"/>
          <w:szCs w:val="24"/>
        </w:rPr>
      </w:pPr>
    </w:p>
    <w:p w14:paraId="2481E3B2" w14:textId="77777777" w:rsidR="001F19F9" w:rsidRDefault="001F19F9" w:rsidP="001636BB">
      <w:pPr>
        <w:spacing w:line="240" w:lineRule="auto"/>
        <w:jc w:val="both"/>
        <w:rPr>
          <w:rFonts w:ascii="Times New Roman" w:hAnsi="Times New Roman" w:cs="Times New Roman"/>
          <w:sz w:val="24"/>
          <w:szCs w:val="24"/>
        </w:rPr>
      </w:pPr>
    </w:p>
    <w:p w14:paraId="3E0F7C48" w14:textId="77777777" w:rsidR="001F19F9" w:rsidRDefault="001F19F9" w:rsidP="001636BB">
      <w:pPr>
        <w:spacing w:line="240" w:lineRule="auto"/>
        <w:jc w:val="both"/>
        <w:rPr>
          <w:rFonts w:ascii="Times New Roman" w:hAnsi="Times New Roman" w:cs="Times New Roman"/>
          <w:sz w:val="24"/>
          <w:szCs w:val="24"/>
        </w:rPr>
      </w:pPr>
    </w:p>
    <w:p w14:paraId="229590F7" w14:textId="6ED66A3D" w:rsidR="001F19F9" w:rsidRDefault="0049412A" w:rsidP="001636BB">
      <w:pPr>
        <w:tabs>
          <w:tab w:val="left" w:pos="405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36BB">
        <w:rPr>
          <w:rFonts w:ascii="Times New Roman" w:hAnsi="Times New Roman" w:cs="Times New Roman"/>
          <w:sz w:val="24"/>
          <w:szCs w:val="24"/>
        </w:rPr>
        <w:t xml:space="preserve"> </w:t>
      </w:r>
      <w:r w:rsidR="001F19F9">
        <w:rPr>
          <w:rFonts w:ascii="Times New Roman" w:hAnsi="Times New Roman" w:cs="Times New Roman"/>
          <w:sz w:val="24"/>
          <w:szCs w:val="24"/>
        </w:rPr>
        <w:t>Fig. 1</w:t>
      </w:r>
      <w:r w:rsidR="001636BB">
        <w:rPr>
          <w:rFonts w:ascii="Times New Roman" w:hAnsi="Times New Roman" w:cs="Times New Roman"/>
          <w:sz w:val="24"/>
          <w:szCs w:val="24"/>
        </w:rPr>
        <w:t>. Setting up Inventory Control Sheet</w:t>
      </w:r>
    </w:p>
    <w:p w14:paraId="6256B38B" w14:textId="77777777" w:rsidR="001F19F9" w:rsidRDefault="001F19F9" w:rsidP="001636BB">
      <w:pPr>
        <w:spacing w:line="240" w:lineRule="auto"/>
        <w:jc w:val="both"/>
        <w:rPr>
          <w:rFonts w:ascii="Times New Roman" w:hAnsi="Times New Roman" w:cs="Times New Roman"/>
          <w:sz w:val="24"/>
          <w:szCs w:val="24"/>
        </w:rPr>
      </w:pPr>
    </w:p>
    <w:p w14:paraId="4FB656AB" w14:textId="2FDA8C7E" w:rsidR="00245EEA" w:rsidRDefault="001F19F9" w:rsidP="001636BB">
      <w:pPr>
        <w:spacing w:line="240" w:lineRule="auto"/>
        <w:jc w:val="both"/>
        <w:rPr>
          <w:rFonts w:ascii="Times New Roman" w:hAnsi="Times New Roman" w:cs="Times New Roman"/>
          <w:sz w:val="24"/>
          <w:szCs w:val="24"/>
        </w:rPr>
      </w:pPr>
      <w:r w:rsidRPr="0056278D">
        <w:rPr>
          <w:rFonts w:ascii="Times New Roman" w:hAnsi="Times New Roman" w:cs="Times New Roman"/>
          <w:b/>
          <w:bCs/>
          <w:i/>
          <w:iCs/>
          <w:sz w:val="24"/>
          <w:szCs w:val="24"/>
        </w:rPr>
        <w:t>Step 2</w:t>
      </w:r>
      <w:r>
        <w:rPr>
          <w:rFonts w:ascii="Times New Roman" w:hAnsi="Times New Roman" w:cs="Times New Roman"/>
          <w:sz w:val="24"/>
          <w:szCs w:val="24"/>
        </w:rPr>
        <w:t xml:space="preserve">- </w:t>
      </w:r>
      <w:r w:rsidR="00EA0B25">
        <w:rPr>
          <w:rFonts w:ascii="Times New Roman" w:hAnsi="Times New Roman" w:cs="Times New Roman"/>
          <w:sz w:val="24"/>
          <w:szCs w:val="24"/>
        </w:rPr>
        <w:t>We divid</w:t>
      </w:r>
      <w:r w:rsidR="001F598D">
        <w:rPr>
          <w:rFonts w:ascii="Times New Roman" w:hAnsi="Times New Roman" w:cs="Times New Roman"/>
          <w:sz w:val="24"/>
          <w:szCs w:val="24"/>
        </w:rPr>
        <w:t xml:space="preserve">ed </w:t>
      </w:r>
      <w:r w:rsidR="00EA0B25">
        <w:rPr>
          <w:rFonts w:ascii="Times New Roman" w:hAnsi="Times New Roman" w:cs="Times New Roman"/>
          <w:sz w:val="24"/>
          <w:szCs w:val="24"/>
        </w:rPr>
        <w:t xml:space="preserve">the available data into three sectors to quantify the emissions associated with each sector individually. </w:t>
      </w:r>
      <w:r w:rsidR="00245EEA">
        <w:rPr>
          <w:rFonts w:ascii="Times New Roman" w:hAnsi="Times New Roman" w:cs="Times New Roman"/>
          <w:sz w:val="24"/>
          <w:szCs w:val="24"/>
        </w:rPr>
        <w:t>These sectors are as follows:</w:t>
      </w:r>
    </w:p>
    <w:p w14:paraId="6C36952B" w14:textId="1402853E" w:rsidR="00245EEA" w:rsidRDefault="00245EEA" w:rsidP="001636B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Buildings and facilities – the electricity and natural gas consumption from buildings and facilities provided in these buildings in the town of Manlius </w:t>
      </w:r>
      <w:r w:rsidR="000E2DA2">
        <w:rPr>
          <w:rFonts w:ascii="Times New Roman" w:hAnsi="Times New Roman" w:cs="Times New Roman"/>
          <w:sz w:val="24"/>
          <w:szCs w:val="24"/>
        </w:rPr>
        <w:t>are</w:t>
      </w:r>
      <w:r>
        <w:rPr>
          <w:rFonts w:ascii="Times New Roman" w:hAnsi="Times New Roman" w:cs="Times New Roman"/>
          <w:sz w:val="24"/>
          <w:szCs w:val="24"/>
        </w:rPr>
        <w:t xml:space="preserve"> accounted</w:t>
      </w:r>
      <w:r w:rsidR="00CF7C01">
        <w:rPr>
          <w:rFonts w:ascii="Times New Roman" w:hAnsi="Times New Roman" w:cs="Times New Roman"/>
          <w:sz w:val="24"/>
          <w:szCs w:val="24"/>
        </w:rPr>
        <w:t xml:space="preserve"> for</w:t>
      </w:r>
      <w:r>
        <w:rPr>
          <w:rFonts w:ascii="Times New Roman" w:hAnsi="Times New Roman" w:cs="Times New Roman"/>
          <w:sz w:val="24"/>
          <w:szCs w:val="24"/>
        </w:rPr>
        <w:t>.</w:t>
      </w:r>
    </w:p>
    <w:p w14:paraId="7B3C1399" w14:textId="140A917B" w:rsidR="00245EEA" w:rsidRDefault="00245EEA" w:rsidP="001636B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Streetlights – the electricity consumption from the streetlights </w:t>
      </w:r>
      <w:r w:rsidR="000E2DA2">
        <w:rPr>
          <w:rFonts w:ascii="Times New Roman" w:hAnsi="Times New Roman" w:cs="Times New Roman"/>
          <w:sz w:val="24"/>
          <w:szCs w:val="24"/>
        </w:rPr>
        <w:t>is</w:t>
      </w:r>
      <w:r>
        <w:rPr>
          <w:rFonts w:ascii="Times New Roman" w:hAnsi="Times New Roman" w:cs="Times New Roman"/>
          <w:sz w:val="24"/>
          <w:szCs w:val="24"/>
        </w:rPr>
        <w:t xml:space="preserve"> accounted</w:t>
      </w:r>
      <w:r w:rsidR="00CF7C01">
        <w:rPr>
          <w:rFonts w:ascii="Times New Roman" w:hAnsi="Times New Roman" w:cs="Times New Roman"/>
          <w:sz w:val="24"/>
          <w:szCs w:val="24"/>
        </w:rPr>
        <w:t xml:space="preserve"> for</w:t>
      </w:r>
      <w:r>
        <w:rPr>
          <w:rFonts w:ascii="Times New Roman" w:hAnsi="Times New Roman" w:cs="Times New Roman"/>
          <w:sz w:val="24"/>
          <w:szCs w:val="24"/>
        </w:rPr>
        <w:t>.</w:t>
      </w:r>
    </w:p>
    <w:p w14:paraId="3115E465" w14:textId="39244A0E" w:rsidR="00245EEA" w:rsidRPr="00245EEA" w:rsidRDefault="00245EEA" w:rsidP="001636B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Vehicle fleet – the emissions associated with vehicles using gasoline, diesel, and keros</w:t>
      </w:r>
      <w:r w:rsidR="00CF7C01">
        <w:rPr>
          <w:rFonts w:ascii="Times New Roman" w:hAnsi="Times New Roman" w:cs="Times New Roman"/>
          <w:sz w:val="24"/>
          <w:szCs w:val="24"/>
        </w:rPr>
        <w:t>e</w:t>
      </w:r>
      <w:r>
        <w:rPr>
          <w:rFonts w:ascii="Times New Roman" w:hAnsi="Times New Roman" w:cs="Times New Roman"/>
          <w:sz w:val="24"/>
          <w:szCs w:val="24"/>
        </w:rPr>
        <w:t>ne</w:t>
      </w:r>
      <w:r w:rsidR="000B517A">
        <w:rPr>
          <w:rFonts w:ascii="Times New Roman" w:hAnsi="Times New Roman" w:cs="Times New Roman"/>
          <w:sz w:val="24"/>
          <w:szCs w:val="24"/>
        </w:rPr>
        <w:t xml:space="preserve"> fuel</w:t>
      </w:r>
      <w:r>
        <w:rPr>
          <w:rFonts w:ascii="Times New Roman" w:hAnsi="Times New Roman" w:cs="Times New Roman"/>
          <w:sz w:val="24"/>
          <w:szCs w:val="24"/>
        </w:rPr>
        <w:t xml:space="preserve"> </w:t>
      </w:r>
      <w:r w:rsidR="000E2DA2">
        <w:rPr>
          <w:rFonts w:ascii="Times New Roman" w:hAnsi="Times New Roman" w:cs="Times New Roman"/>
          <w:sz w:val="24"/>
          <w:szCs w:val="24"/>
        </w:rPr>
        <w:t>are</w:t>
      </w:r>
      <w:r>
        <w:rPr>
          <w:rFonts w:ascii="Times New Roman" w:hAnsi="Times New Roman" w:cs="Times New Roman"/>
          <w:sz w:val="24"/>
          <w:szCs w:val="24"/>
        </w:rPr>
        <w:t xml:space="preserve"> accounted separately</w:t>
      </w:r>
      <w:r w:rsidR="000B517A">
        <w:rPr>
          <w:rFonts w:ascii="Times New Roman" w:hAnsi="Times New Roman" w:cs="Times New Roman"/>
          <w:sz w:val="24"/>
          <w:szCs w:val="24"/>
        </w:rPr>
        <w:t xml:space="preserve"> for each of these fuels.</w:t>
      </w:r>
    </w:p>
    <w:p w14:paraId="4C6DBE62" w14:textId="6C18EF04" w:rsidR="001F19F9" w:rsidRDefault="009619A1" w:rsidP="001636BB">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1" behindDoc="0" locked="0" layoutInCell="1" allowOverlap="1" wp14:anchorId="3916855B" wp14:editId="7AD12AF4">
            <wp:simplePos x="0" y="0"/>
            <wp:positionH relativeFrom="column">
              <wp:posOffset>-375285</wp:posOffset>
            </wp:positionH>
            <wp:positionV relativeFrom="paragraph">
              <wp:posOffset>451485</wp:posOffset>
            </wp:positionV>
            <wp:extent cx="6632575" cy="2695575"/>
            <wp:effectExtent l="0" t="0" r="0" b="9525"/>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6632575" cy="2695575"/>
                    </a:xfrm>
                    <a:prstGeom prst="rect">
                      <a:avLst/>
                    </a:prstGeom>
                  </pic:spPr>
                </pic:pic>
              </a:graphicData>
            </a:graphic>
            <wp14:sizeRelH relativeFrom="margin">
              <wp14:pctWidth>0</wp14:pctWidth>
            </wp14:sizeRelH>
            <wp14:sizeRelV relativeFrom="margin">
              <wp14:pctHeight>0</wp14:pctHeight>
            </wp14:sizeRelV>
          </wp:anchor>
        </w:drawing>
      </w:r>
      <w:r w:rsidR="005824BB">
        <w:rPr>
          <w:rFonts w:ascii="Times New Roman" w:hAnsi="Times New Roman" w:cs="Times New Roman"/>
          <w:sz w:val="24"/>
          <w:szCs w:val="24"/>
        </w:rPr>
        <w:t xml:space="preserve">The </w:t>
      </w:r>
      <w:r w:rsidR="00EA0B25">
        <w:rPr>
          <w:rFonts w:ascii="Times New Roman" w:hAnsi="Times New Roman" w:cs="Times New Roman"/>
          <w:sz w:val="24"/>
          <w:szCs w:val="24"/>
        </w:rPr>
        <w:t xml:space="preserve">EPA tool uses the word department instead of </w:t>
      </w:r>
      <w:r w:rsidR="00CF7C01">
        <w:rPr>
          <w:rFonts w:ascii="Times New Roman" w:hAnsi="Times New Roman" w:cs="Times New Roman"/>
          <w:sz w:val="24"/>
          <w:szCs w:val="24"/>
        </w:rPr>
        <w:t xml:space="preserve">the </w:t>
      </w:r>
      <w:r w:rsidR="00245EEA">
        <w:rPr>
          <w:rFonts w:ascii="Times New Roman" w:hAnsi="Times New Roman" w:cs="Times New Roman"/>
          <w:sz w:val="24"/>
          <w:szCs w:val="24"/>
        </w:rPr>
        <w:t>sector; therefore</w:t>
      </w:r>
      <w:r w:rsidR="00EA0B25">
        <w:rPr>
          <w:rFonts w:ascii="Times New Roman" w:hAnsi="Times New Roman" w:cs="Times New Roman"/>
          <w:sz w:val="24"/>
          <w:szCs w:val="24"/>
        </w:rPr>
        <w:t>, we refer</w:t>
      </w:r>
      <w:r w:rsidR="0099514E">
        <w:rPr>
          <w:rFonts w:ascii="Times New Roman" w:hAnsi="Times New Roman" w:cs="Times New Roman"/>
          <w:sz w:val="24"/>
          <w:szCs w:val="24"/>
        </w:rPr>
        <w:t>red</w:t>
      </w:r>
      <w:r w:rsidR="00EA0B25">
        <w:rPr>
          <w:rFonts w:ascii="Times New Roman" w:hAnsi="Times New Roman" w:cs="Times New Roman"/>
          <w:sz w:val="24"/>
          <w:szCs w:val="24"/>
        </w:rPr>
        <w:t xml:space="preserve"> to these sectors as departments in </w:t>
      </w:r>
      <w:r w:rsidR="0001181A">
        <w:rPr>
          <w:rFonts w:ascii="Times New Roman" w:hAnsi="Times New Roman" w:cs="Times New Roman"/>
          <w:sz w:val="24"/>
          <w:szCs w:val="24"/>
        </w:rPr>
        <w:t>the control sheet.</w:t>
      </w:r>
      <w:r w:rsidR="00220BFB">
        <w:rPr>
          <w:rFonts w:ascii="Times New Roman" w:hAnsi="Times New Roman" w:cs="Times New Roman"/>
          <w:sz w:val="24"/>
          <w:szCs w:val="24"/>
        </w:rPr>
        <w:t xml:space="preserve"> This step is depicted in the figure below:</w:t>
      </w:r>
    </w:p>
    <w:p w14:paraId="37CA53EA" w14:textId="2309B577" w:rsidR="009619A1" w:rsidRDefault="001636BB" w:rsidP="001636B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19A1">
        <w:rPr>
          <w:rFonts w:ascii="Times New Roman" w:hAnsi="Times New Roman" w:cs="Times New Roman"/>
          <w:sz w:val="24"/>
          <w:szCs w:val="24"/>
        </w:rPr>
        <w:t>Fig. 2</w:t>
      </w:r>
      <w:r>
        <w:rPr>
          <w:rFonts w:ascii="Times New Roman" w:hAnsi="Times New Roman" w:cs="Times New Roman"/>
          <w:sz w:val="24"/>
          <w:szCs w:val="24"/>
        </w:rPr>
        <w:t>. Assigning Sectors in EPA Tool</w:t>
      </w:r>
    </w:p>
    <w:p w14:paraId="00AA315C" w14:textId="161B4538" w:rsidR="00A9428C" w:rsidRDefault="00EF5255" w:rsidP="001636BB">
      <w:pPr>
        <w:spacing w:line="240" w:lineRule="auto"/>
        <w:jc w:val="both"/>
        <w:rPr>
          <w:rFonts w:ascii="Times New Roman" w:hAnsi="Times New Roman" w:cs="Times New Roman"/>
          <w:sz w:val="24"/>
          <w:szCs w:val="24"/>
        </w:rPr>
      </w:pPr>
      <w:r w:rsidRPr="0056278D">
        <w:rPr>
          <w:rFonts w:ascii="Times New Roman" w:hAnsi="Times New Roman" w:cs="Times New Roman"/>
          <w:b/>
          <w:bCs/>
          <w:i/>
          <w:iCs/>
          <w:sz w:val="24"/>
          <w:szCs w:val="24"/>
        </w:rPr>
        <w:t>Step 3</w:t>
      </w:r>
      <w:r>
        <w:rPr>
          <w:rFonts w:ascii="Times New Roman" w:hAnsi="Times New Roman" w:cs="Times New Roman"/>
          <w:sz w:val="24"/>
          <w:szCs w:val="24"/>
        </w:rPr>
        <w:t xml:space="preserve"> </w:t>
      </w:r>
      <w:r w:rsidR="00162DE0">
        <w:rPr>
          <w:rFonts w:ascii="Times New Roman" w:hAnsi="Times New Roman" w:cs="Times New Roman"/>
          <w:sz w:val="24"/>
          <w:szCs w:val="24"/>
        </w:rPr>
        <w:t>–</w:t>
      </w:r>
      <w:r>
        <w:rPr>
          <w:rFonts w:ascii="Times New Roman" w:hAnsi="Times New Roman" w:cs="Times New Roman"/>
          <w:sz w:val="24"/>
          <w:szCs w:val="24"/>
        </w:rPr>
        <w:t xml:space="preserve"> </w:t>
      </w:r>
      <w:r w:rsidR="00162DE0" w:rsidRPr="00162DE0">
        <w:rPr>
          <w:rFonts w:ascii="Times New Roman" w:hAnsi="Times New Roman" w:cs="Times New Roman"/>
          <w:sz w:val="24"/>
          <w:szCs w:val="24"/>
        </w:rPr>
        <w:t xml:space="preserve">We </w:t>
      </w:r>
      <w:r w:rsidR="00162DE0">
        <w:rPr>
          <w:rFonts w:ascii="Times New Roman" w:hAnsi="Times New Roman" w:cs="Times New Roman"/>
          <w:sz w:val="24"/>
          <w:szCs w:val="24"/>
        </w:rPr>
        <w:t>establish</w:t>
      </w:r>
      <w:r w:rsidR="0099514E">
        <w:rPr>
          <w:rFonts w:ascii="Times New Roman" w:hAnsi="Times New Roman" w:cs="Times New Roman"/>
          <w:sz w:val="24"/>
          <w:szCs w:val="24"/>
        </w:rPr>
        <w:t>ed</w:t>
      </w:r>
      <w:r w:rsidR="00162DE0">
        <w:rPr>
          <w:rFonts w:ascii="Times New Roman" w:hAnsi="Times New Roman" w:cs="Times New Roman"/>
          <w:sz w:val="24"/>
          <w:szCs w:val="24"/>
        </w:rPr>
        <w:t xml:space="preserve"> </w:t>
      </w:r>
      <w:r w:rsidR="00CF7C01">
        <w:rPr>
          <w:rFonts w:ascii="Times New Roman" w:hAnsi="Times New Roman" w:cs="Times New Roman"/>
          <w:sz w:val="24"/>
          <w:szCs w:val="24"/>
        </w:rPr>
        <w:t xml:space="preserve">the </w:t>
      </w:r>
      <w:r w:rsidR="00162DE0" w:rsidRPr="00162DE0">
        <w:rPr>
          <w:rFonts w:ascii="Times New Roman" w:hAnsi="Times New Roman" w:cs="Times New Roman"/>
          <w:sz w:val="24"/>
          <w:szCs w:val="24"/>
        </w:rPr>
        <w:t xml:space="preserve">Emissions </w:t>
      </w:r>
      <w:r w:rsidR="00162DE0">
        <w:rPr>
          <w:rFonts w:ascii="Times New Roman" w:hAnsi="Times New Roman" w:cs="Times New Roman"/>
          <w:sz w:val="24"/>
          <w:szCs w:val="24"/>
        </w:rPr>
        <w:t>and</w:t>
      </w:r>
      <w:r w:rsidR="00162DE0" w:rsidRPr="00162DE0">
        <w:rPr>
          <w:rFonts w:ascii="Times New Roman" w:hAnsi="Times New Roman" w:cs="Times New Roman"/>
          <w:sz w:val="24"/>
          <w:szCs w:val="24"/>
        </w:rPr>
        <w:t xml:space="preserve"> Generation Resource Integrated Database (eGRID) </w:t>
      </w:r>
      <w:r w:rsidR="00162DE0">
        <w:rPr>
          <w:rFonts w:ascii="Times New Roman" w:hAnsi="Times New Roman" w:cs="Times New Roman"/>
          <w:sz w:val="24"/>
          <w:szCs w:val="24"/>
        </w:rPr>
        <w:t>s</w:t>
      </w:r>
      <w:r w:rsidR="00162DE0" w:rsidRPr="00162DE0">
        <w:rPr>
          <w:rFonts w:ascii="Times New Roman" w:hAnsi="Times New Roman" w:cs="Times New Roman"/>
          <w:sz w:val="24"/>
          <w:szCs w:val="24"/>
        </w:rPr>
        <w:t xml:space="preserve">ubregion. eGRID is a comprehensive source of data on the environmental characteristics of </w:t>
      </w:r>
      <w:r w:rsidR="00162DE0" w:rsidRPr="00162DE0">
        <w:rPr>
          <w:rFonts w:ascii="Times New Roman" w:hAnsi="Times New Roman" w:cs="Times New Roman"/>
          <w:sz w:val="24"/>
          <w:szCs w:val="24"/>
        </w:rPr>
        <w:lastRenderedPageBreak/>
        <w:t>almost all electric power generated in the</w:t>
      </w:r>
      <w:r w:rsidR="00162DE0">
        <w:rPr>
          <w:rFonts w:ascii="Times New Roman" w:hAnsi="Times New Roman" w:cs="Times New Roman"/>
          <w:sz w:val="24"/>
          <w:szCs w:val="24"/>
        </w:rPr>
        <w:t xml:space="preserve"> </w:t>
      </w:r>
      <w:r w:rsidR="00162DE0" w:rsidRPr="00162DE0">
        <w:rPr>
          <w:rFonts w:ascii="Times New Roman" w:hAnsi="Times New Roman" w:cs="Times New Roman"/>
          <w:sz w:val="24"/>
          <w:szCs w:val="24"/>
        </w:rPr>
        <w:t>United States</w:t>
      </w:r>
      <w:r w:rsidR="00162DE0">
        <w:rPr>
          <w:rFonts w:ascii="Times New Roman" w:hAnsi="Times New Roman" w:cs="Times New Roman"/>
          <w:sz w:val="24"/>
          <w:szCs w:val="24"/>
        </w:rPr>
        <w:t xml:space="preserve">. </w:t>
      </w:r>
      <w:r w:rsidR="00EA3E80">
        <w:rPr>
          <w:rFonts w:ascii="Times New Roman" w:hAnsi="Times New Roman" w:cs="Times New Roman"/>
          <w:sz w:val="24"/>
          <w:szCs w:val="24"/>
        </w:rPr>
        <w:t xml:space="preserve">The subregion for the town of Manlius is Upstate New York identified as NYUP in the eGRID section of </w:t>
      </w:r>
      <w:r w:rsidR="00CF7C01">
        <w:rPr>
          <w:rFonts w:ascii="Times New Roman" w:hAnsi="Times New Roman" w:cs="Times New Roman"/>
          <w:sz w:val="24"/>
          <w:szCs w:val="24"/>
        </w:rPr>
        <w:t xml:space="preserve">the </w:t>
      </w:r>
      <w:r w:rsidR="00EA3E80">
        <w:rPr>
          <w:rFonts w:ascii="Times New Roman" w:hAnsi="Times New Roman" w:cs="Times New Roman"/>
          <w:sz w:val="24"/>
          <w:szCs w:val="24"/>
        </w:rPr>
        <w:t>EPA tool.</w:t>
      </w:r>
      <w:r w:rsidR="00AF1FC9">
        <w:rPr>
          <w:rFonts w:ascii="Times New Roman" w:hAnsi="Times New Roman" w:cs="Times New Roman"/>
          <w:sz w:val="24"/>
          <w:szCs w:val="24"/>
        </w:rPr>
        <w:t xml:space="preserve"> When we enter this information, we get the following data:</w:t>
      </w:r>
    </w:p>
    <w:p w14:paraId="23CEDBFB" w14:textId="46064727" w:rsidR="00AF1FC9" w:rsidRDefault="00AF1FC9" w:rsidP="001636BB">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2" behindDoc="0" locked="0" layoutInCell="1" allowOverlap="1" wp14:anchorId="66E85516" wp14:editId="215267E2">
            <wp:simplePos x="0" y="0"/>
            <wp:positionH relativeFrom="margin">
              <wp:posOffset>-857250</wp:posOffset>
            </wp:positionH>
            <wp:positionV relativeFrom="paragraph">
              <wp:posOffset>247650</wp:posOffset>
            </wp:positionV>
            <wp:extent cx="7640955" cy="1200150"/>
            <wp:effectExtent l="0" t="0" r="0" b="0"/>
            <wp:wrapSquare wrapText="bothSides"/>
            <wp:docPr id="3" name="Picture 3"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7640955" cy="1200150"/>
                    </a:xfrm>
                    <a:prstGeom prst="rect">
                      <a:avLst/>
                    </a:prstGeom>
                  </pic:spPr>
                </pic:pic>
              </a:graphicData>
            </a:graphic>
            <wp14:sizeRelH relativeFrom="margin">
              <wp14:pctWidth>0</wp14:pctWidth>
            </wp14:sizeRelH>
            <wp14:sizeRelV relativeFrom="margin">
              <wp14:pctHeight>0</wp14:pctHeight>
            </wp14:sizeRelV>
          </wp:anchor>
        </w:drawing>
      </w:r>
    </w:p>
    <w:p w14:paraId="306B90CA" w14:textId="7C2E95C7" w:rsidR="00AF1FC9" w:rsidRDefault="0049412A" w:rsidP="001636BB">
      <w:pPr>
        <w:tabs>
          <w:tab w:val="left" w:pos="36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36BB">
        <w:rPr>
          <w:rFonts w:ascii="Times New Roman" w:hAnsi="Times New Roman" w:cs="Times New Roman"/>
          <w:sz w:val="24"/>
          <w:szCs w:val="24"/>
        </w:rPr>
        <w:t xml:space="preserve"> </w:t>
      </w:r>
      <w:r w:rsidR="00AF1FC9">
        <w:rPr>
          <w:rFonts w:ascii="Times New Roman" w:hAnsi="Times New Roman" w:cs="Times New Roman"/>
          <w:sz w:val="24"/>
          <w:szCs w:val="24"/>
        </w:rPr>
        <w:t>Fig. 3</w:t>
      </w:r>
      <w:r w:rsidR="001636BB">
        <w:rPr>
          <w:rFonts w:ascii="Times New Roman" w:hAnsi="Times New Roman" w:cs="Times New Roman"/>
          <w:sz w:val="24"/>
          <w:szCs w:val="24"/>
        </w:rPr>
        <w:t>. Setting up eGRID subregion</w:t>
      </w:r>
    </w:p>
    <w:p w14:paraId="362B9C07" w14:textId="0ADD88CB" w:rsidR="00F050F6" w:rsidRDefault="00F050F6" w:rsidP="001636BB">
      <w:pPr>
        <w:tabs>
          <w:tab w:val="left" w:pos="36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 observe from this table that for every MWh electricity being consumed in the town of Manlius; 253.11 </w:t>
      </w:r>
      <w:r w:rsidR="00082F6D">
        <w:rPr>
          <w:rFonts w:ascii="Times New Roman" w:hAnsi="Times New Roman" w:cs="Times New Roman"/>
          <w:sz w:val="24"/>
          <w:szCs w:val="24"/>
        </w:rPr>
        <w:t>lb.</w:t>
      </w:r>
      <w:r>
        <w:rPr>
          <w:rFonts w:ascii="Times New Roman" w:hAnsi="Times New Roman" w:cs="Times New Roman"/>
          <w:sz w:val="24"/>
          <w:szCs w:val="24"/>
        </w:rPr>
        <w:t xml:space="preserve"> CO</w:t>
      </w:r>
      <w:r w:rsidRPr="00F050F6">
        <w:rPr>
          <w:rFonts w:ascii="Times New Roman" w:hAnsi="Times New Roman" w:cs="Times New Roman"/>
          <w:sz w:val="24"/>
          <w:szCs w:val="24"/>
          <w:vertAlign w:val="subscript"/>
        </w:rPr>
        <w:t>2</w:t>
      </w:r>
      <w:r>
        <w:rPr>
          <w:rFonts w:ascii="Times New Roman" w:hAnsi="Times New Roman" w:cs="Times New Roman"/>
          <w:sz w:val="24"/>
          <w:szCs w:val="24"/>
        </w:rPr>
        <w:t xml:space="preserve">, 0.018 </w:t>
      </w:r>
      <w:r w:rsidR="00082F6D">
        <w:rPr>
          <w:rFonts w:ascii="Times New Roman" w:hAnsi="Times New Roman" w:cs="Times New Roman"/>
          <w:sz w:val="24"/>
          <w:szCs w:val="24"/>
        </w:rPr>
        <w:t>lb.</w:t>
      </w:r>
      <w:r>
        <w:rPr>
          <w:rFonts w:ascii="Times New Roman" w:hAnsi="Times New Roman" w:cs="Times New Roman"/>
          <w:sz w:val="24"/>
          <w:szCs w:val="24"/>
        </w:rPr>
        <w:t xml:space="preserve"> CH</w:t>
      </w:r>
      <w:r w:rsidRPr="00F050F6">
        <w:rPr>
          <w:rFonts w:ascii="Times New Roman" w:hAnsi="Times New Roman" w:cs="Times New Roman"/>
          <w:sz w:val="24"/>
          <w:szCs w:val="24"/>
          <w:vertAlign w:val="subscript"/>
        </w:rPr>
        <w:t>4</w:t>
      </w:r>
      <w:r>
        <w:rPr>
          <w:rFonts w:ascii="Times New Roman" w:hAnsi="Times New Roman" w:cs="Times New Roman"/>
          <w:sz w:val="24"/>
          <w:szCs w:val="24"/>
        </w:rPr>
        <w:t xml:space="preserve">, and 0.002 </w:t>
      </w:r>
      <w:r w:rsidR="00082F6D">
        <w:rPr>
          <w:rFonts w:ascii="Times New Roman" w:hAnsi="Times New Roman" w:cs="Times New Roman"/>
          <w:sz w:val="24"/>
          <w:szCs w:val="24"/>
        </w:rPr>
        <w:t>lb.</w:t>
      </w:r>
      <w:r w:rsidR="00031332">
        <w:rPr>
          <w:rFonts w:ascii="Times New Roman" w:hAnsi="Times New Roman" w:cs="Times New Roman"/>
          <w:sz w:val="24"/>
          <w:szCs w:val="24"/>
        </w:rPr>
        <w:t xml:space="preserve"> </w:t>
      </w:r>
      <w:r>
        <w:rPr>
          <w:rFonts w:ascii="Times New Roman" w:hAnsi="Times New Roman" w:cs="Times New Roman"/>
          <w:sz w:val="24"/>
          <w:szCs w:val="24"/>
        </w:rPr>
        <w:t>N</w:t>
      </w:r>
      <w:r w:rsidRPr="00F050F6">
        <w:rPr>
          <w:rFonts w:ascii="Times New Roman" w:hAnsi="Times New Roman" w:cs="Times New Roman"/>
          <w:sz w:val="24"/>
          <w:szCs w:val="24"/>
          <w:vertAlign w:val="subscript"/>
        </w:rPr>
        <w:t>2</w:t>
      </w:r>
      <w:r>
        <w:rPr>
          <w:rFonts w:ascii="Times New Roman" w:hAnsi="Times New Roman" w:cs="Times New Roman"/>
          <w:sz w:val="24"/>
          <w:szCs w:val="24"/>
        </w:rPr>
        <w:t>O is being emitted.</w:t>
      </w:r>
      <w:r w:rsidR="00031332">
        <w:rPr>
          <w:rFonts w:ascii="Times New Roman" w:hAnsi="Times New Roman" w:cs="Times New Roman"/>
          <w:sz w:val="24"/>
          <w:szCs w:val="24"/>
        </w:rPr>
        <w:t xml:space="preserve"> GHG gases are CO</w:t>
      </w:r>
      <w:r w:rsidR="00031332" w:rsidRPr="00031332">
        <w:rPr>
          <w:rFonts w:ascii="Times New Roman" w:hAnsi="Times New Roman" w:cs="Times New Roman"/>
          <w:sz w:val="24"/>
          <w:szCs w:val="24"/>
          <w:vertAlign w:val="subscript"/>
        </w:rPr>
        <w:t>2</w:t>
      </w:r>
      <w:r w:rsidR="00031332">
        <w:rPr>
          <w:rFonts w:ascii="Times New Roman" w:hAnsi="Times New Roman" w:cs="Times New Roman"/>
          <w:sz w:val="24"/>
          <w:szCs w:val="24"/>
        </w:rPr>
        <w:t>, CH</w:t>
      </w:r>
      <w:r w:rsidR="00031332" w:rsidRPr="00031332">
        <w:rPr>
          <w:rFonts w:ascii="Times New Roman" w:hAnsi="Times New Roman" w:cs="Times New Roman"/>
          <w:sz w:val="24"/>
          <w:szCs w:val="24"/>
          <w:vertAlign w:val="subscript"/>
        </w:rPr>
        <w:t>4</w:t>
      </w:r>
      <w:r w:rsidR="00031332">
        <w:rPr>
          <w:rFonts w:ascii="Times New Roman" w:hAnsi="Times New Roman" w:cs="Times New Roman"/>
          <w:sz w:val="24"/>
          <w:szCs w:val="24"/>
        </w:rPr>
        <w:t xml:space="preserve"> and N</w:t>
      </w:r>
      <w:r w:rsidR="00031332" w:rsidRPr="00031332">
        <w:rPr>
          <w:rFonts w:ascii="Times New Roman" w:hAnsi="Times New Roman" w:cs="Times New Roman"/>
          <w:sz w:val="24"/>
          <w:szCs w:val="24"/>
          <w:vertAlign w:val="subscript"/>
        </w:rPr>
        <w:t>2</w:t>
      </w:r>
      <w:r w:rsidR="00031332">
        <w:rPr>
          <w:rFonts w:ascii="Times New Roman" w:hAnsi="Times New Roman" w:cs="Times New Roman"/>
          <w:sz w:val="24"/>
          <w:szCs w:val="24"/>
        </w:rPr>
        <w:t>O but for the sake of simplicity, GHG emissions are scaled as CO</w:t>
      </w:r>
      <w:r w:rsidR="00031332" w:rsidRPr="00031332">
        <w:rPr>
          <w:rFonts w:ascii="Times New Roman" w:hAnsi="Times New Roman" w:cs="Times New Roman"/>
          <w:sz w:val="24"/>
          <w:szCs w:val="24"/>
          <w:vertAlign w:val="subscript"/>
        </w:rPr>
        <w:t>2</w:t>
      </w:r>
      <w:r w:rsidR="00031332">
        <w:rPr>
          <w:rFonts w:ascii="Times New Roman" w:hAnsi="Times New Roman" w:cs="Times New Roman"/>
          <w:sz w:val="24"/>
          <w:szCs w:val="24"/>
        </w:rPr>
        <w:t xml:space="preserve"> equivalent i.e., CO</w:t>
      </w:r>
      <w:r w:rsidR="00031332" w:rsidRPr="00031332">
        <w:rPr>
          <w:rFonts w:ascii="Times New Roman" w:hAnsi="Times New Roman" w:cs="Times New Roman"/>
          <w:sz w:val="24"/>
          <w:szCs w:val="24"/>
          <w:vertAlign w:val="subscript"/>
        </w:rPr>
        <w:t>2</w:t>
      </w:r>
      <w:r w:rsidR="00031332">
        <w:rPr>
          <w:rFonts w:ascii="Times New Roman" w:hAnsi="Times New Roman" w:cs="Times New Roman"/>
          <w:sz w:val="24"/>
          <w:szCs w:val="24"/>
        </w:rPr>
        <w:t xml:space="preserve">e. Therefore, </w:t>
      </w:r>
      <w:r w:rsidR="00CF7C01">
        <w:rPr>
          <w:rFonts w:ascii="Times New Roman" w:hAnsi="Times New Roman" w:cs="Times New Roman"/>
          <w:sz w:val="24"/>
          <w:szCs w:val="24"/>
        </w:rPr>
        <w:t xml:space="preserve">the </w:t>
      </w:r>
      <w:r w:rsidR="00031332">
        <w:rPr>
          <w:rFonts w:ascii="Times New Roman" w:hAnsi="Times New Roman" w:cs="Times New Roman"/>
          <w:sz w:val="24"/>
          <w:szCs w:val="24"/>
        </w:rPr>
        <w:t xml:space="preserve">total emissions factor for the town of Manlius is 254.16 </w:t>
      </w:r>
      <w:r w:rsidR="00082F6D">
        <w:rPr>
          <w:rFonts w:ascii="Times New Roman" w:hAnsi="Times New Roman" w:cs="Times New Roman"/>
          <w:sz w:val="24"/>
          <w:szCs w:val="24"/>
        </w:rPr>
        <w:t>lb.</w:t>
      </w:r>
      <w:r w:rsidR="00031332">
        <w:rPr>
          <w:rFonts w:ascii="Times New Roman" w:hAnsi="Times New Roman" w:cs="Times New Roman"/>
          <w:sz w:val="24"/>
          <w:szCs w:val="24"/>
        </w:rPr>
        <w:t xml:space="preserve"> CO</w:t>
      </w:r>
      <w:r w:rsidR="00031332" w:rsidRPr="00031332">
        <w:rPr>
          <w:rFonts w:ascii="Times New Roman" w:hAnsi="Times New Roman" w:cs="Times New Roman"/>
          <w:sz w:val="24"/>
          <w:szCs w:val="24"/>
          <w:vertAlign w:val="subscript"/>
        </w:rPr>
        <w:t>2</w:t>
      </w:r>
      <w:r w:rsidR="00031332">
        <w:rPr>
          <w:rFonts w:ascii="Times New Roman" w:hAnsi="Times New Roman" w:cs="Times New Roman"/>
          <w:sz w:val="24"/>
          <w:szCs w:val="24"/>
        </w:rPr>
        <w:t>e/MWh</w:t>
      </w:r>
      <w:r w:rsidR="00ED3279">
        <w:rPr>
          <w:rFonts w:ascii="Times New Roman" w:hAnsi="Times New Roman" w:cs="Times New Roman"/>
          <w:sz w:val="24"/>
          <w:szCs w:val="24"/>
        </w:rPr>
        <w:t xml:space="preserve"> which shows that the </w:t>
      </w:r>
      <w:r w:rsidR="00E03F19">
        <w:rPr>
          <w:rFonts w:ascii="Times New Roman" w:hAnsi="Times New Roman" w:cs="Times New Roman"/>
          <w:sz w:val="24"/>
          <w:szCs w:val="24"/>
        </w:rPr>
        <w:t>one-megawatt</w:t>
      </w:r>
      <w:r w:rsidR="00ED3279">
        <w:rPr>
          <w:rFonts w:ascii="Times New Roman" w:hAnsi="Times New Roman" w:cs="Times New Roman"/>
          <w:sz w:val="24"/>
          <w:szCs w:val="24"/>
        </w:rPr>
        <w:t xml:space="preserve"> electricity which is consumed in Manlius town emits 254.16 </w:t>
      </w:r>
      <w:r w:rsidR="00082F6D">
        <w:rPr>
          <w:rFonts w:ascii="Times New Roman" w:hAnsi="Times New Roman" w:cs="Times New Roman"/>
          <w:sz w:val="24"/>
          <w:szCs w:val="24"/>
        </w:rPr>
        <w:t>lb.</w:t>
      </w:r>
      <w:r w:rsidR="00ED3279">
        <w:rPr>
          <w:rFonts w:ascii="Times New Roman" w:hAnsi="Times New Roman" w:cs="Times New Roman"/>
          <w:sz w:val="24"/>
          <w:szCs w:val="24"/>
        </w:rPr>
        <w:t xml:space="preserve"> of greenhouse gases.</w:t>
      </w:r>
      <w:r w:rsidR="00D036E2">
        <w:rPr>
          <w:rFonts w:ascii="Times New Roman" w:hAnsi="Times New Roman" w:cs="Times New Roman"/>
          <w:sz w:val="24"/>
          <w:szCs w:val="24"/>
        </w:rPr>
        <w:t xml:space="preserve"> This step almost finalizes the Inventory Control Sheet setup and now we can use the data to calculate GHG emissions for the three sectors we described.</w:t>
      </w:r>
    </w:p>
    <w:p w14:paraId="785B2633" w14:textId="31F2962C" w:rsidR="0056278D" w:rsidRDefault="0056278D" w:rsidP="001636BB">
      <w:pPr>
        <w:tabs>
          <w:tab w:val="left" w:pos="3630"/>
        </w:tabs>
        <w:spacing w:line="240" w:lineRule="auto"/>
        <w:jc w:val="both"/>
        <w:rPr>
          <w:rFonts w:ascii="Times New Roman" w:hAnsi="Times New Roman" w:cs="Times New Roman"/>
          <w:sz w:val="24"/>
          <w:szCs w:val="24"/>
        </w:rPr>
      </w:pPr>
      <w:r w:rsidRPr="0056278D">
        <w:rPr>
          <w:rFonts w:ascii="Times New Roman" w:hAnsi="Times New Roman" w:cs="Times New Roman"/>
          <w:b/>
          <w:bCs/>
          <w:i/>
          <w:iCs/>
          <w:sz w:val="24"/>
          <w:szCs w:val="24"/>
        </w:rPr>
        <w:t>Step 4</w:t>
      </w:r>
      <w:r>
        <w:rPr>
          <w:rFonts w:ascii="Times New Roman" w:hAnsi="Times New Roman" w:cs="Times New Roman"/>
          <w:sz w:val="24"/>
          <w:szCs w:val="24"/>
        </w:rPr>
        <w:t xml:space="preserve"> </w:t>
      </w:r>
      <w:r w:rsidR="005D2BC4">
        <w:rPr>
          <w:rFonts w:ascii="Times New Roman" w:hAnsi="Times New Roman" w:cs="Times New Roman"/>
          <w:sz w:val="24"/>
          <w:szCs w:val="24"/>
        </w:rPr>
        <w:t>–</w:t>
      </w:r>
      <w:r>
        <w:rPr>
          <w:rFonts w:ascii="Times New Roman" w:hAnsi="Times New Roman" w:cs="Times New Roman"/>
          <w:sz w:val="24"/>
          <w:szCs w:val="24"/>
        </w:rPr>
        <w:t xml:space="preserve"> </w:t>
      </w:r>
      <w:r w:rsidR="005D2BC4">
        <w:rPr>
          <w:rFonts w:ascii="Times New Roman" w:hAnsi="Times New Roman" w:cs="Times New Roman"/>
          <w:sz w:val="24"/>
          <w:szCs w:val="24"/>
        </w:rPr>
        <w:t xml:space="preserve">There are many tabs in </w:t>
      </w:r>
      <w:r w:rsidR="00CF7C01">
        <w:rPr>
          <w:rFonts w:ascii="Times New Roman" w:hAnsi="Times New Roman" w:cs="Times New Roman"/>
          <w:sz w:val="24"/>
          <w:szCs w:val="24"/>
        </w:rPr>
        <w:t xml:space="preserve">the </w:t>
      </w:r>
      <w:r w:rsidR="005D2BC4">
        <w:rPr>
          <w:rFonts w:ascii="Times New Roman" w:hAnsi="Times New Roman" w:cs="Times New Roman"/>
          <w:sz w:val="24"/>
          <w:szCs w:val="24"/>
        </w:rPr>
        <w:t xml:space="preserve">EPA tool to calculate GHG emissions for different types of sources, for this project we </w:t>
      </w:r>
      <w:r w:rsidR="002F7DE5">
        <w:rPr>
          <w:rFonts w:ascii="Times New Roman" w:hAnsi="Times New Roman" w:cs="Times New Roman"/>
          <w:sz w:val="24"/>
          <w:szCs w:val="24"/>
        </w:rPr>
        <w:t xml:space="preserve">used </w:t>
      </w:r>
      <w:r w:rsidR="0086710D">
        <w:rPr>
          <w:rFonts w:ascii="Times New Roman" w:hAnsi="Times New Roman" w:cs="Times New Roman"/>
          <w:sz w:val="24"/>
          <w:szCs w:val="24"/>
        </w:rPr>
        <w:t>the following tabs:</w:t>
      </w:r>
    </w:p>
    <w:p w14:paraId="68BF0697" w14:textId="5F8208F3" w:rsidR="0086710D" w:rsidRDefault="0086710D" w:rsidP="001636BB">
      <w:pPr>
        <w:pStyle w:val="ListParagraph"/>
        <w:numPr>
          <w:ilvl w:val="0"/>
          <w:numId w:val="3"/>
        </w:numPr>
        <w:tabs>
          <w:tab w:val="left" w:pos="3630"/>
        </w:tabs>
        <w:spacing w:line="240" w:lineRule="auto"/>
        <w:jc w:val="both"/>
        <w:rPr>
          <w:rFonts w:ascii="Times New Roman" w:hAnsi="Times New Roman" w:cs="Times New Roman"/>
          <w:sz w:val="24"/>
          <w:szCs w:val="24"/>
        </w:rPr>
      </w:pPr>
      <w:r>
        <w:rPr>
          <w:rFonts w:ascii="Times New Roman" w:hAnsi="Times New Roman" w:cs="Times New Roman"/>
          <w:sz w:val="24"/>
          <w:szCs w:val="24"/>
        </w:rPr>
        <w:t>Stationary Entry Tab – We enter</w:t>
      </w:r>
      <w:r w:rsidR="006A1E8A">
        <w:rPr>
          <w:rFonts w:ascii="Times New Roman" w:hAnsi="Times New Roman" w:cs="Times New Roman"/>
          <w:sz w:val="24"/>
          <w:szCs w:val="24"/>
        </w:rPr>
        <w:t>ed</w:t>
      </w:r>
      <w:r>
        <w:rPr>
          <w:rFonts w:ascii="Times New Roman" w:hAnsi="Times New Roman" w:cs="Times New Roman"/>
          <w:sz w:val="24"/>
          <w:szCs w:val="24"/>
        </w:rPr>
        <w:t xml:space="preserve"> natural gas consumption in this tab from </w:t>
      </w:r>
      <w:r w:rsidR="00CF7C01">
        <w:rPr>
          <w:rFonts w:ascii="Times New Roman" w:hAnsi="Times New Roman" w:cs="Times New Roman"/>
          <w:sz w:val="24"/>
          <w:szCs w:val="24"/>
        </w:rPr>
        <w:t xml:space="preserve">the </w:t>
      </w:r>
      <w:r>
        <w:rPr>
          <w:rFonts w:ascii="Times New Roman" w:hAnsi="Times New Roman" w:cs="Times New Roman"/>
          <w:sz w:val="24"/>
          <w:szCs w:val="24"/>
        </w:rPr>
        <w:t>buildings and facilities</w:t>
      </w:r>
      <w:r w:rsidR="00B07C01">
        <w:rPr>
          <w:rFonts w:ascii="Times New Roman" w:hAnsi="Times New Roman" w:cs="Times New Roman"/>
          <w:sz w:val="24"/>
          <w:szCs w:val="24"/>
        </w:rPr>
        <w:t xml:space="preserve"> sector</w:t>
      </w:r>
      <w:r>
        <w:rPr>
          <w:rFonts w:ascii="Times New Roman" w:hAnsi="Times New Roman" w:cs="Times New Roman"/>
          <w:sz w:val="24"/>
          <w:szCs w:val="24"/>
        </w:rPr>
        <w:t>. The data is provided in therms (one therm is equal to 100,000 BTUs) and we convert</w:t>
      </w:r>
      <w:r w:rsidR="001931EA">
        <w:rPr>
          <w:rFonts w:ascii="Times New Roman" w:hAnsi="Times New Roman" w:cs="Times New Roman"/>
          <w:sz w:val="24"/>
          <w:szCs w:val="24"/>
        </w:rPr>
        <w:t>ed</w:t>
      </w:r>
      <w:r>
        <w:rPr>
          <w:rFonts w:ascii="Times New Roman" w:hAnsi="Times New Roman" w:cs="Times New Roman"/>
          <w:sz w:val="24"/>
          <w:szCs w:val="24"/>
        </w:rPr>
        <w:t xml:space="preserve"> therms to mcf (1000 cubic feet i.e., 1MMBTU) because </w:t>
      </w:r>
      <w:r w:rsidR="00CF7C01">
        <w:rPr>
          <w:rFonts w:ascii="Times New Roman" w:hAnsi="Times New Roman" w:cs="Times New Roman"/>
          <w:sz w:val="24"/>
          <w:szCs w:val="24"/>
        </w:rPr>
        <w:t xml:space="preserve">the </w:t>
      </w:r>
      <w:r>
        <w:rPr>
          <w:rFonts w:ascii="Times New Roman" w:hAnsi="Times New Roman" w:cs="Times New Roman"/>
          <w:sz w:val="24"/>
          <w:szCs w:val="24"/>
        </w:rPr>
        <w:t>EPA tool needs input in mcf units.</w:t>
      </w:r>
    </w:p>
    <w:p w14:paraId="0E637239" w14:textId="0010ED44" w:rsidR="007A7666" w:rsidRDefault="00CB1C63" w:rsidP="001636BB">
      <w:pPr>
        <w:pStyle w:val="ListParagraph"/>
        <w:numPr>
          <w:ilvl w:val="0"/>
          <w:numId w:val="3"/>
        </w:numPr>
        <w:tabs>
          <w:tab w:val="left" w:pos="36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Stationary Calcs Tab – It </w:t>
      </w:r>
      <w:r w:rsidR="001931EA">
        <w:rPr>
          <w:rFonts w:ascii="Times New Roman" w:hAnsi="Times New Roman" w:cs="Times New Roman"/>
          <w:sz w:val="24"/>
          <w:szCs w:val="24"/>
        </w:rPr>
        <w:t>ga</w:t>
      </w:r>
      <w:r w:rsidR="002722C8">
        <w:rPr>
          <w:rFonts w:ascii="Times New Roman" w:hAnsi="Times New Roman" w:cs="Times New Roman"/>
          <w:sz w:val="24"/>
          <w:szCs w:val="24"/>
        </w:rPr>
        <w:t>ve</w:t>
      </w:r>
      <w:r>
        <w:rPr>
          <w:rFonts w:ascii="Times New Roman" w:hAnsi="Times New Roman" w:cs="Times New Roman"/>
          <w:sz w:val="24"/>
          <w:szCs w:val="24"/>
        </w:rPr>
        <w:t xml:space="preserve"> us </w:t>
      </w:r>
      <w:r w:rsidR="00CF7C01">
        <w:rPr>
          <w:rFonts w:ascii="Times New Roman" w:hAnsi="Times New Roman" w:cs="Times New Roman"/>
          <w:sz w:val="24"/>
          <w:szCs w:val="24"/>
        </w:rPr>
        <w:t xml:space="preserve">an </w:t>
      </w:r>
      <w:r>
        <w:rPr>
          <w:rFonts w:ascii="Times New Roman" w:hAnsi="Times New Roman" w:cs="Times New Roman"/>
          <w:sz w:val="24"/>
          <w:szCs w:val="24"/>
        </w:rPr>
        <w:t>overview of emissions from natural gas for buildings and facilities.</w:t>
      </w:r>
    </w:p>
    <w:p w14:paraId="1B811F49" w14:textId="084405BC" w:rsidR="00CB1C63" w:rsidRDefault="00CB1C63" w:rsidP="001636BB">
      <w:pPr>
        <w:pStyle w:val="ListParagraph"/>
        <w:numPr>
          <w:ilvl w:val="0"/>
          <w:numId w:val="3"/>
        </w:numPr>
        <w:tabs>
          <w:tab w:val="left" w:pos="3630"/>
        </w:tabs>
        <w:spacing w:line="240" w:lineRule="auto"/>
        <w:jc w:val="both"/>
        <w:rPr>
          <w:rFonts w:ascii="Times New Roman" w:hAnsi="Times New Roman" w:cs="Times New Roman"/>
          <w:sz w:val="24"/>
          <w:szCs w:val="24"/>
        </w:rPr>
      </w:pPr>
      <w:r>
        <w:rPr>
          <w:rFonts w:ascii="Times New Roman" w:hAnsi="Times New Roman" w:cs="Times New Roman"/>
          <w:sz w:val="24"/>
          <w:szCs w:val="24"/>
        </w:rPr>
        <w:t>Electricity Entry Tab – We enter</w:t>
      </w:r>
      <w:r w:rsidR="00D52047">
        <w:rPr>
          <w:rFonts w:ascii="Times New Roman" w:hAnsi="Times New Roman" w:cs="Times New Roman"/>
          <w:sz w:val="24"/>
          <w:szCs w:val="24"/>
        </w:rPr>
        <w:t>ed</w:t>
      </w:r>
      <w:r>
        <w:rPr>
          <w:rFonts w:ascii="Times New Roman" w:hAnsi="Times New Roman" w:cs="Times New Roman"/>
          <w:sz w:val="24"/>
          <w:szCs w:val="24"/>
        </w:rPr>
        <w:t xml:space="preserve"> data of electricity consumption for buildings &amp; facilities, and streetlights </w:t>
      </w:r>
      <w:r w:rsidR="007E403B">
        <w:rPr>
          <w:rFonts w:ascii="Times New Roman" w:hAnsi="Times New Roman" w:cs="Times New Roman"/>
          <w:sz w:val="24"/>
          <w:szCs w:val="24"/>
        </w:rPr>
        <w:t>for</w:t>
      </w:r>
      <w:r>
        <w:rPr>
          <w:rFonts w:ascii="Times New Roman" w:hAnsi="Times New Roman" w:cs="Times New Roman"/>
          <w:sz w:val="24"/>
          <w:szCs w:val="24"/>
        </w:rPr>
        <w:t xml:space="preserve"> two separate </w:t>
      </w:r>
      <w:r w:rsidR="007E403B">
        <w:rPr>
          <w:rFonts w:ascii="Times New Roman" w:hAnsi="Times New Roman" w:cs="Times New Roman"/>
          <w:sz w:val="24"/>
          <w:szCs w:val="24"/>
        </w:rPr>
        <w:t>sectors (</w:t>
      </w:r>
      <w:r>
        <w:rPr>
          <w:rFonts w:ascii="Times New Roman" w:hAnsi="Times New Roman" w:cs="Times New Roman"/>
          <w:sz w:val="24"/>
          <w:szCs w:val="24"/>
        </w:rPr>
        <w:t>departments</w:t>
      </w:r>
      <w:r w:rsidR="007E403B">
        <w:rPr>
          <w:rFonts w:ascii="Times New Roman" w:hAnsi="Times New Roman" w:cs="Times New Roman"/>
          <w:sz w:val="24"/>
          <w:szCs w:val="24"/>
        </w:rPr>
        <w:t>)</w:t>
      </w:r>
      <w:r>
        <w:rPr>
          <w:rFonts w:ascii="Times New Roman" w:hAnsi="Times New Roman" w:cs="Times New Roman"/>
          <w:sz w:val="24"/>
          <w:szCs w:val="24"/>
        </w:rPr>
        <w:t xml:space="preserve"> by using this tab.</w:t>
      </w:r>
    </w:p>
    <w:p w14:paraId="35C4BB3B" w14:textId="020AD12E" w:rsidR="0001181A" w:rsidRDefault="00CB1C63" w:rsidP="001636BB">
      <w:pPr>
        <w:pStyle w:val="ListParagraph"/>
        <w:numPr>
          <w:ilvl w:val="0"/>
          <w:numId w:val="3"/>
        </w:numPr>
        <w:tabs>
          <w:tab w:val="left" w:pos="3630"/>
        </w:tabs>
        <w:spacing w:line="240" w:lineRule="auto"/>
        <w:jc w:val="both"/>
        <w:rPr>
          <w:rFonts w:ascii="Times New Roman" w:hAnsi="Times New Roman" w:cs="Times New Roman"/>
          <w:sz w:val="24"/>
          <w:szCs w:val="24"/>
        </w:rPr>
      </w:pPr>
      <w:r w:rsidRPr="00CB1C63">
        <w:rPr>
          <w:rFonts w:ascii="Times New Roman" w:hAnsi="Times New Roman" w:cs="Times New Roman"/>
          <w:sz w:val="24"/>
          <w:szCs w:val="24"/>
        </w:rPr>
        <w:t xml:space="preserve">Electricity </w:t>
      </w:r>
      <w:r>
        <w:rPr>
          <w:rFonts w:ascii="Times New Roman" w:hAnsi="Times New Roman" w:cs="Times New Roman"/>
          <w:sz w:val="24"/>
          <w:szCs w:val="24"/>
        </w:rPr>
        <w:t>Location</w:t>
      </w:r>
      <w:r w:rsidR="00CF7C01">
        <w:rPr>
          <w:rFonts w:ascii="Times New Roman" w:hAnsi="Times New Roman" w:cs="Times New Roman"/>
          <w:sz w:val="24"/>
          <w:szCs w:val="24"/>
        </w:rPr>
        <w:t>-</w:t>
      </w:r>
      <w:r>
        <w:rPr>
          <w:rFonts w:ascii="Times New Roman" w:hAnsi="Times New Roman" w:cs="Times New Roman"/>
          <w:sz w:val="24"/>
          <w:szCs w:val="24"/>
        </w:rPr>
        <w:t>Based Calcs Tab – It g</w:t>
      </w:r>
      <w:r w:rsidR="00D52047">
        <w:rPr>
          <w:rFonts w:ascii="Times New Roman" w:hAnsi="Times New Roman" w:cs="Times New Roman"/>
          <w:sz w:val="24"/>
          <w:szCs w:val="24"/>
        </w:rPr>
        <w:t>a</w:t>
      </w:r>
      <w:r>
        <w:rPr>
          <w:rFonts w:ascii="Times New Roman" w:hAnsi="Times New Roman" w:cs="Times New Roman"/>
          <w:sz w:val="24"/>
          <w:szCs w:val="24"/>
        </w:rPr>
        <w:t>ve us the emissions data for buildings &amp; facilities, and streetlights in two separate departments (sectors).</w:t>
      </w:r>
    </w:p>
    <w:p w14:paraId="137220E6" w14:textId="46AFB5EE" w:rsidR="008E0455" w:rsidRPr="00703519" w:rsidRDefault="008E0455" w:rsidP="008E0455">
      <w:pPr>
        <w:pStyle w:val="ListParagraph"/>
        <w:numPr>
          <w:ilvl w:val="0"/>
          <w:numId w:val="3"/>
        </w:numPr>
        <w:tabs>
          <w:tab w:val="left" w:pos="36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Mobile Entry Tab – We entered data for the vehicles fleet sector in this tab by identifying vehicles that are using gasoline and diesel as fuel separately. The provided fuel use and vehicle fuel efficiencies in miles per gallons were converted into vehicles miles travelled (VMT) as the EPA tool needs data in VMT. </w:t>
      </w:r>
      <w:r>
        <w:rPr>
          <w:rFonts w:ascii="Times New Roman" w:eastAsia="Times New Roman" w:hAnsi="Times New Roman" w:cs="Times New Roman"/>
          <w:sz w:val="24"/>
          <w:szCs w:val="24"/>
        </w:rPr>
        <w:t>T</w:t>
      </w:r>
      <w:r w:rsidRPr="007F6809">
        <w:rPr>
          <w:rFonts w:ascii="Times New Roman" w:eastAsia="Times New Roman" w:hAnsi="Times New Roman" w:cs="Times New Roman"/>
          <w:sz w:val="24"/>
          <w:szCs w:val="24"/>
        </w:rPr>
        <w:t>here is not a kerosene option in the mobile entry tab</w:t>
      </w:r>
      <w:r>
        <w:rPr>
          <w:rFonts w:ascii="Times New Roman" w:eastAsia="Times New Roman" w:hAnsi="Times New Roman" w:cs="Times New Roman"/>
          <w:sz w:val="24"/>
          <w:szCs w:val="24"/>
        </w:rPr>
        <w:t>,</w:t>
      </w:r>
      <w:r w:rsidRPr="007F6809">
        <w:rPr>
          <w:rFonts w:ascii="Times New Roman" w:eastAsia="Times New Roman" w:hAnsi="Times New Roman" w:cs="Times New Roman"/>
          <w:sz w:val="24"/>
          <w:szCs w:val="24"/>
        </w:rPr>
        <w:t xml:space="preserve"> </w:t>
      </w:r>
      <w:r w:rsidR="0058362F">
        <w:rPr>
          <w:rFonts w:ascii="Times New Roman" w:eastAsia="Times New Roman" w:hAnsi="Times New Roman" w:cs="Times New Roman"/>
          <w:sz w:val="24"/>
          <w:szCs w:val="24"/>
        </w:rPr>
        <w:t>s</w:t>
      </w:r>
      <w:r>
        <w:rPr>
          <w:rFonts w:ascii="Times New Roman" w:eastAsia="Times New Roman" w:hAnsi="Times New Roman" w:cs="Times New Roman"/>
          <w:sz w:val="24"/>
          <w:szCs w:val="24"/>
        </w:rPr>
        <w:t>o w</w:t>
      </w:r>
      <w:r w:rsidRPr="007F680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had</w:t>
      </w:r>
      <w:r w:rsidRPr="007F6809">
        <w:rPr>
          <w:rFonts w:ascii="Times New Roman" w:eastAsia="Times New Roman" w:hAnsi="Times New Roman" w:cs="Times New Roman"/>
          <w:sz w:val="24"/>
          <w:szCs w:val="24"/>
        </w:rPr>
        <w:t xml:space="preserve"> to work on this calculation separately and add it later to the vehicle fleet sector</w:t>
      </w:r>
      <w:r w:rsidR="0058362F">
        <w:rPr>
          <w:rFonts w:ascii="Times New Roman" w:eastAsia="Times New Roman" w:hAnsi="Times New Roman" w:cs="Times New Roman"/>
          <w:sz w:val="24"/>
          <w:szCs w:val="24"/>
        </w:rPr>
        <w:t>.</w:t>
      </w:r>
    </w:p>
    <w:p w14:paraId="43827B1A" w14:textId="768F0021" w:rsidR="00703519" w:rsidRPr="00D615BA" w:rsidRDefault="00703519" w:rsidP="001636BB">
      <w:pPr>
        <w:pStyle w:val="ListParagraph"/>
        <w:numPr>
          <w:ilvl w:val="0"/>
          <w:numId w:val="3"/>
        </w:numPr>
        <w:tabs>
          <w:tab w:val="left" w:pos="3630"/>
        </w:tabs>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Mobile Data Tab &amp; Mobile Detail Calcs Tab – These tabs provide</w:t>
      </w:r>
      <w:r w:rsidR="00D5204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emissions data for </w:t>
      </w:r>
      <w:r w:rsidR="00CF7C0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vehicle fleet sector.</w:t>
      </w:r>
    </w:p>
    <w:p w14:paraId="1FC32407" w14:textId="54812BFB" w:rsidR="009520FC" w:rsidRPr="002429DB" w:rsidRDefault="00D615BA" w:rsidP="001636BB">
      <w:pPr>
        <w:pStyle w:val="ListParagraph"/>
        <w:numPr>
          <w:ilvl w:val="0"/>
          <w:numId w:val="3"/>
        </w:numPr>
        <w:tabs>
          <w:tab w:val="left" w:pos="3630"/>
        </w:tabs>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Summary Emissions Tab – </w:t>
      </w:r>
      <w:r w:rsidRPr="00D615BA">
        <w:rPr>
          <w:rFonts w:ascii="Times New Roman" w:eastAsia="Times New Roman" w:hAnsi="Times New Roman" w:cs="Times New Roman"/>
          <w:sz w:val="24"/>
          <w:szCs w:val="24"/>
        </w:rPr>
        <w:t xml:space="preserve">It </w:t>
      </w:r>
      <w:r w:rsidR="00D52047">
        <w:rPr>
          <w:rFonts w:ascii="Times New Roman" w:eastAsia="Times New Roman" w:hAnsi="Times New Roman" w:cs="Times New Roman"/>
          <w:sz w:val="24"/>
          <w:szCs w:val="24"/>
        </w:rPr>
        <w:t>was</w:t>
      </w:r>
      <w:r w:rsidRPr="00D615BA">
        <w:rPr>
          <w:rFonts w:ascii="Times New Roman" w:eastAsia="Times New Roman" w:hAnsi="Times New Roman" w:cs="Times New Roman"/>
          <w:sz w:val="24"/>
          <w:szCs w:val="24"/>
        </w:rPr>
        <w:t xml:space="preserve"> </w:t>
      </w:r>
      <w:r w:rsidRPr="00D615BA">
        <w:rPr>
          <w:rFonts w:ascii="Times New Roman" w:eastAsia="Times New Roman" w:hAnsi="Times New Roman" w:cs="Times New Roman"/>
          <w:color w:val="000000"/>
          <w:sz w:val="24"/>
          <w:szCs w:val="24"/>
        </w:rPr>
        <w:t>helpful to review</w:t>
      </w:r>
      <w:r>
        <w:rPr>
          <w:rFonts w:ascii="Times New Roman" w:eastAsia="Times New Roman" w:hAnsi="Times New Roman" w:cs="Times New Roman"/>
          <w:color w:val="000000"/>
          <w:sz w:val="24"/>
          <w:szCs w:val="24"/>
        </w:rPr>
        <w:t xml:space="preserve"> the emissions data</w:t>
      </w:r>
      <w:r w:rsidRPr="00D615BA">
        <w:rPr>
          <w:rFonts w:ascii="Times New Roman" w:eastAsia="Times New Roman" w:hAnsi="Times New Roman" w:cs="Times New Roman"/>
          <w:color w:val="000000"/>
          <w:sz w:val="24"/>
          <w:szCs w:val="24"/>
        </w:rPr>
        <w:t xml:space="preserve"> for the report, although since we add</w:t>
      </w:r>
      <w:r w:rsidR="00D52047">
        <w:rPr>
          <w:rFonts w:ascii="Times New Roman" w:eastAsia="Times New Roman" w:hAnsi="Times New Roman" w:cs="Times New Roman"/>
          <w:color w:val="000000"/>
          <w:sz w:val="24"/>
          <w:szCs w:val="24"/>
        </w:rPr>
        <w:t>ed</w:t>
      </w:r>
      <w:r w:rsidRPr="00D615BA">
        <w:rPr>
          <w:rFonts w:ascii="Times New Roman" w:eastAsia="Times New Roman" w:hAnsi="Times New Roman" w:cs="Times New Roman"/>
          <w:color w:val="000000"/>
          <w:sz w:val="24"/>
          <w:szCs w:val="24"/>
        </w:rPr>
        <w:t xml:space="preserve"> kerosene </w:t>
      </w:r>
      <w:r>
        <w:rPr>
          <w:rFonts w:ascii="Times New Roman" w:eastAsia="Times New Roman" w:hAnsi="Times New Roman" w:cs="Times New Roman"/>
          <w:color w:val="000000"/>
          <w:sz w:val="24"/>
          <w:szCs w:val="24"/>
        </w:rPr>
        <w:t xml:space="preserve">emissions </w:t>
      </w:r>
      <w:r w:rsidR="001C5146" w:rsidRPr="00D615BA">
        <w:rPr>
          <w:rFonts w:ascii="Times New Roman" w:eastAsia="Times New Roman" w:hAnsi="Times New Roman" w:cs="Times New Roman"/>
          <w:color w:val="000000"/>
          <w:sz w:val="24"/>
          <w:szCs w:val="24"/>
        </w:rPr>
        <w:t>separately,</w:t>
      </w:r>
      <w:r w:rsidRPr="00D615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 would</w:t>
      </w:r>
      <w:r w:rsidRPr="00D615BA">
        <w:rPr>
          <w:rFonts w:ascii="Times New Roman" w:eastAsia="Times New Roman" w:hAnsi="Times New Roman" w:cs="Times New Roman"/>
          <w:color w:val="000000"/>
          <w:sz w:val="24"/>
          <w:szCs w:val="24"/>
        </w:rPr>
        <w:t xml:space="preserve"> need to create our charts</w:t>
      </w:r>
      <w:r w:rsidR="00CA54CE">
        <w:rPr>
          <w:rFonts w:ascii="Times New Roman" w:eastAsia="Times New Roman" w:hAnsi="Times New Roman" w:cs="Times New Roman"/>
          <w:color w:val="000000"/>
          <w:sz w:val="24"/>
          <w:szCs w:val="24"/>
        </w:rPr>
        <w:t xml:space="preserve"> and </w:t>
      </w:r>
      <w:r w:rsidRPr="00D615BA">
        <w:rPr>
          <w:rFonts w:ascii="Times New Roman" w:eastAsia="Times New Roman" w:hAnsi="Times New Roman" w:cs="Times New Roman"/>
          <w:color w:val="000000"/>
          <w:sz w:val="24"/>
          <w:szCs w:val="24"/>
        </w:rPr>
        <w:t>graphs for the report.</w:t>
      </w:r>
    </w:p>
    <w:p w14:paraId="1AF90FA5" w14:textId="14BB6E23" w:rsidR="007D762A" w:rsidRPr="00D05EB4" w:rsidRDefault="007D762A" w:rsidP="001636BB">
      <w:pPr>
        <w:pStyle w:val="Heading2"/>
        <w:spacing w:line="240" w:lineRule="auto"/>
        <w:rPr>
          <w:rFonts w:ascii="Times New Roman" w:eastAsia="Times New Roman" w:hAnsi="Times New Roman" w:cs="Times New Roman"/>
          <w:b/>
          <w:bCs/>
          <w:color w:val="385623" w:themeColor="accent6" w:themeShade="80"/>
        </w:rPr>
      </w:pPr>
      <w:bookmarkStart w:id="6" w:name="_Toc71547924"/>
      <w:r w:rsidRPr="00D05EB4">
        <w:rPr>
          <w:rFonts w:ascii="Times New Roman" w:eastAsia="Times New Roman" w:hAnsi="Times New Roman" w:cs="Times New Roman"/>
          <w:b/>
          <w:bCs/>
          <w:color w:val="385623" w:themeColor="accent6" w:themeShade="80"/>
        </w:rPr>
        <w:lastRenderedPageBreak/>
        <w:t>Excluded Data</w:t>
      </w:r>
      <w:bookmarkEnd w:id="6"/>
    </w:p>
    <w:p w14:paraId="7994FBFD" w14:textId="42810CC7" w:rsidR="007C0237" w:rsidRDefault="00A26304" w:rsidP="001636BB">
      <w:pPr>
        <w:tabs>
          <w:tab w:val="left" w:pos="3630"/>
        </w:tabs>
        <w:spacing w:line="240" w:lineRule="auto"/>
        <w:jc w:val="both"/>
        <w:rPr>
          <w:rFonts w:ascii="Times New Roman" w:hAnsi="Times New Roman" w:cs="Times New Roman"/>
          <w:sz w:val="24"/>
          <w:szCs w:val="24"/>
        </w:rPr>
      </w:pPr>
      <w:r w:rsidRPr="006C321E">
        <w:rPr>
          <w:rFonts w:ascii="Times New Roman" w:hAnsi="Times New Roman" w:cs="Times New Roman"/>
          <w:noProof/>
          <w:sz w:val="24"/>
          <w:szCs w:val="24"/>
        </w:rPr>
        <w:drawing>
          <wp:anchor distT="0" distB="0" distL="114300" distR="114300" simplePos="0" relativeHeight="251658244" behindDoc="0" locked="0" layoutInCell="1" allowOverlap="1" wp14:anchorId="18E3E5ED" wp14:editId="1BF59C5C">
            <wp:simplePos x="0" y="0"/>
            <wp:positionH relativeFrom="margin">
              <wp:posOffset>542925</wp:posOffset>
            </wp:positionH>
            <wp:positionV relativeFrom="paragraph">
              <wp:posOffset>387350</wp:posOffset>
            </wp:positionV>
            <wp:extent cx="4867275" cy="619125"/>
            <wp:effectExtent l="0" t="0" r="9525" b="9525"/>
            <wp:wrapSquare wrapText="bothSides"/>
            <wp:docPr id="124" name="Google Shape;124;p18"/>
            <wp:cNvGraphicFramePr/>
            <a:graphic xmlns:a="http://schemas.openxmlformats.org/drawingml/2006/main">
              <a:graphicData uri="http://schemas.openxmlformats.org/drawingml/2006/picture">
                <pic:pic xmlns:pic="http://schemas.openxmlformats.org/drawingml/2006/picture">
                  <pic:nvPicPr>
                    <pic:cNvPr id="124" name="Google Shape;124;p18"/>
                    <pic:cNvPicPr preferRelativeResize="0"/>
                  </pic:nvPicPr>
                  <pic:blipFill>
                    <a:blip r:embed="rId14">
                      <a:alphaModFix/>
                      <a:extLst>
                        <a:ext uri="{28A0092B-C50C-407E-A947-70E740481C1C}">
                          <a14:useLocalDpi xmlns:a14="http://schemas.microsoft.com/office/drawing/2010/main" val="0"/>
                        </a:ext>
                      </a:extLst>
                    </a:blip>
                    <a:stretch>
                      <a:fillRect/>
                    </a:stretch>
                  </pic:blipFill>
                  <pic:spPr>
                    <a:xfrm>
                      <a:off x="0" y="0"/>
                      <a:ext cx="486727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A</w:t>
      </w:r>
      <w:r w:rsidRPr="007D762A">
        <w:rPr>
          <w:rFonts w:ascii="Times New Roman" w:eastAsia="Times New Roman" w:hAnsi="Times New Roman" w:cs="Times New Roman"/>
          <w:sz w:val="24"/>
          <w:szCs w:val="24"/>
        </w:rPr>
        <w:t xml:space="preserve">ll pump stations have been turned over to Onondaga County as part of the sewer </w:t>
      </w:r>
      <w:proofErr w:type="gramStart"/>
      <w:r w:rsidRPr="007D762A">
        <w:rPr>
          <w:rFonts w:ascii="Times New Roman" w:eastAsia="Times New Roman" w:hAnsi="Times New Roman" w:cs="Times New Roman"/>
          <w:sz w:val="24"/>
          <w:szCs w:val="24"/>
        </w:rPr>
        <w:t>consolidation</w:t>
      </w:r>
      <w:proofErr w:type="gramEnd"/>
      <w:r w:rsidRPr="007D762A">
        <w:rPr>
          <w:rFonts w:ascii="Times New Roman" w:eastAsia="Times New Roman" w:hAnsi="Times New Roman" w:cs="Times New Roman"/>
          <w:sz w:val="24"/>
          <w:szCs w:val="24"/>
        </w:rPr>
        <w:t xml:space="preserve"> so the following accounts </w:t>
      </w:r>
      <w:r>
        <w:rPr>
          <w:rFonts w:ascii="Times New Roman" w:eastAsia="Times New Roman" w:hAnsi="Times New Roman" w:cs="Times New Roman"/>
          <w:sz w:val="24"/>
          <w:szCs w:val="24"/>
        </w:rPr>
        <w:t>were not included in</w:t>
      </w:r>
      <w:r w:rsidRPr="007D762A">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is</w:t>
      </w:r>
      <w:r w:rsidRPr="007D762A">
        <w:rPr>
          <w:rFonts w:ascii="Times New Roman" w:eastAsia="Times New Roman" w:hAnsi="Times New Roman" w:cs="Times New Roman"/>
          <w:sz w:val="24"/>
          <w:szCs w:val="24"/>
        </w:rPr>
        <w:t xml:space="preserve"> study</w:t>
      </w:r>
      <w:r>
        <w:rPr>
          <w:rFonts w:ascii="Times New Roman" w:eastAsia="Times New Roman" w:hAnsi="Times New Roman" w:cs="Times New Roman"/>
          <w:sz w:val="24"/>
          <w:szCs w:val="24"/>
        </w:rPr>
        <w:t>.</w:t>
      </w:r>
      <w:r w:rsidR="0049412A">
        <w:rPr>
          <w:rFonts w:ascii="Times New Roman" w:hAnsi="Times New Roman" w:cs="Times New Roman"/>
          <w:sz w:val="24"/>
          <w:szCs w:val="24"/>
        </w:rPr>
        <w:t xml:space="preserve">                                                     </w:t>
      </w:r>
      <w:r w:rsidR="006C321E">
        <w:rPr>
          <w:rFonts w:ascii="Times New Roman" w:hAnsi="Times New Roman" w:cs="Times New Roman"/>
          <w:sz w:val="24"/>
          <w:szCs w:val="24"/>
        </w:rPr>
        <w:t xml:space="preserve"> </w:t>
      </w:r>
    </w:p>
    <w:p w14:paraId="41FC11A5" w14:textId="75F267AB" w:rsidR="007C0237" w:rsidRDefault="007C0237" w:rsidP="001636BB">
      <w:pPr>
        <w:tabs>
          <w:tab w:val="left" w:pos="3630"/>
        </w:tabs>
        <w:spacing w:line="240" w:lineRule="auto"/>
        <w:jc w:val="both"/>
        <w:rPr>
          <w:rFonts w:ascii="Times New Roman" w:hAnsi="Times New Roman" w:cs="Times New Roman"/>
          <w:sz w:val="24"/>
          <w:szCs w:val="24"/>
        </w:rPr>
      </w:pPr>
    </w:p>
    <w:p w14:paraId="24894E44" w14:textId="6BD3F938" w:rsidR="007C0237" w:rsidRDefault="00A26304" w:rsidP="001636BB">
      <w:pPr>
        <w:tabs>
          <w:tab w:val="left" w:pos="3630"/>
        </w:tabs>
        <w:spacing w:line="240" w:lineRule="auto"/>
        <w:jc w:val="both"/>
        <w:rPr>
          <w:rFonts w:ascii="Times New Roman" w:hAnsi="Times New Roman" w:cs="Times New Roman"/>
          <w:sz w:val="24"/>
          <w:szCs w:val="24"/>
        </w:rPr>
      </w:pPr>
      <w:r w:rsidRPr="006C321E">
        <w:rPr>
          <w:rFonts w:ascii="Times New Roman" w:hAnsi="Times New Roman" w:cs="Times New Roman"/>
          <w:noProof/>
          <w:sz w:val="24"/>
          <w:szCs w:val="24"/>
        </w:rPr>
        <w:drawing>
          <wp:anchor distT="0" distB="0" distL="114300" distR="114300" simplePos="0" relativeHeight="251658245" behindDoc="0" locked="0" layoutInCell="1" allowOverlap="1" wp14:anchorId="5272BEBF" wp14:editId="112DCF38">
            <wp:simplePos x="0" y="0"/>
            <wp:positionH relativeFrom="column">
              <wp:posOffset>514350</wp:posOffset>
            </wp:positionH>
            <wp:positionV relativeFrom="paragraph">
              <wp:posOffset>231775</wp:posOffset>
            </wp:positionV>
            <wp:extent cx="4848225" cy="828675"/>
            <wp:effectExtent l="0" t="0" r="9525" b="9525"/>
            <wp:wrapSquare wrapText="bothSides"/>
            <wp:docPr id="123" name="Google Shape;123;p18"/>
            <wp:cNvGraphicFramePr/>
            <a:graphic xmlns:a="http://schemas.openxmlformats.org/drawingml/2006/main">
              <a:graphicData uri="http://schemas.openxmlformats.org/drawingml/2006/picture">
                <pic:pic xmlns:pic="http://schemas.openxmlformats.org/drawingml/2006/picture">
                  <pic:nvPicPr>
                    <pic:cNvPr id="123" name="Google Shape;123;p18"/>
                    <pic:cNvPicPr preferRelativeResize="0"/>
                  </pic:nvPicPr>
                  <pic:blipFill>
                    <a:blip r:embed="rId15">
                      <a:alphaModFix/>
                      <a:extLst>
                        <a:ext uri="{28A0092B-C50C-407E-A947-70E740481C1C}">
                          <a14:useLocalDpi xmlns:a14="http://schemas.microsoft.com/office/drawing/2010/main" val="0"/>
                        </a:ext>
                      </a:extLst>
                    </a:blip>
                    <a:stretch>
                      <a:fillRect/>
                    </a:stretch>
                  </pic:blipFill>
                  <pic:spPr>
                    <a:xfrm>
                      <a:off x="0" y="0"/>
                      <a:ext cx="48482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891B61" w14:textId="5C447A5D" w:rsidR="007C0237" w:rsidRDefault="007C0237" w:rsidP="001636BB">
      <w:pPr>
        <w:tabs>
          <w:tab w:val="left" w:pos="3630"/>
        </w:tabs>
        <w:spacing w:line="240" w:lineRule="auto"/>
        <w:jc w:val="both"/>
        <w:rPr>
          <w:rFonts w:ascii="Times New Roman" w:hAnsi="Times New Roman" w:cs="Times New Roman"/>
          <w:sz w:val="24"/>
          <w:szCs w:val="24"/>
        </w:rPr>
      </w:pPr>
    </w:p>
    <w:p w14:paraId="48055510" w14:textId="77777777" w:rsidR="007C0237" w:rsidRDefault="007C0237" w:rsidP="001636BB">
      <w:pPr>
        <w:tabs>
          <w:tab w:val="left" w:pos="3630"/>
        </w:tabs>
        <w:spacing w:line="240" w:lineRule="auto"/>
        <w:jc w:val="both"/>
        <w:rPr>
          <w:rFonts w:ascii="Times New Roman" w:hAnsi="Times New Roman" w:cs="Times New Roman"/>
          <w:sz w:val="24"/>
          <w:szCs w:val="24"/>
        </w:rPr>
      </w:pPr>
    </w:p>
    <w:p w14:paraId="182E8D09" w14:textId="77777777" w:rsidR="007C0237" w:rsidRDefault="007C0237" w:rsidP="001636BB">
      <w:pPr>
        <w:tabs>
          <w:tab w:val="left" w:pos="3630"/>
        </w:tabs>
        <w:spacing w:line="240" w:lineRule="auto"/>
        <w:jc w:val="both"/>
        <w:rPr>
          <w:rFonts w:ascii="Times New Roman" w:hAnsi="Times New Roman" w:cs="Times New Roman"/>
          <w:sz w:val="24"/>
          <w:szCs w:val="24"/>
        </w:rPr>
      </w:pPr>
    </w:p>
    <w:p w14:paraId="2EE7947A" w14:textId="73815ECE" w:rsidR="007D762A" w:rsidRDefault="007C0237" w:rsidP="001636BB">
      <w:pPr>
        <w:tabs>
          <w:tab w:val="left" w:pos="36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762A">
        <w:rPr>
          <w:rFonts w:ascii="Times New Roman" w:hAnsi="Times New Roman" w:cs="Times New Roman"/>
          <w:sz w:val="24"/>
          <w:szCs w:val="24"/>
        </w:rPr>
        <w:t>Fig. 4</w:t>
      </w:r>
      <w:r w:rsidR="006C321E">
        <w:rPr>
          <w:rFonts w:ascii="Times New Roman" w:hAnsi="Times New Roman" w:cs="Times New Roman"/>
          <w:sz w:val="24"/>
          <w:szCs w:val="24"/>
        </w:rPr>
        <w:t>. List of excluded data</w:t>
      </w:r>
    </w:p>
    <w:p w14:paraId="5C63ECD8" w14:textId="77777777" w:rsidR="00C62EA0" w:rsidRPr="002429DB" w:rsidRDefault="00C62EA0" w:rsidP="00C62EA0">
      <w:pPr>
        <w:tabs>
          <w:tab w:val="left" w:pos="3990"/>
        </w:tabs>
        <w:spacing w:line="240" w:lineRule="auto"/>
        <w:jc w:val="both"/>
        <w:rPr>
          <w:rFonts w:ascii="Times New Roman" w:hAnsi="Times New Roman" w:cs="Times New Roman"/>
          <w:sz w:val="24"/>
          <w:szCs w:val="24"/>
        </w:rPr>
      </w:pPr>
      <w:bookmarkStart w:id="7" w:name="_Toc71547925"/>
      <w:r>
        <w:rPr>
          <w:rFonts w:ascii="Times New Roman" w:hAnsi="Times New Roman" w:cs="Times New Roman"/>
          <w:sz w:val="24"/>
          <w:szCs w:val="24"/>
        </w:rPr>
        <w:t>We obtained the emissions data for each of the three sectors i.e., buildings &amp; facilities, streetlights, and vehicle fleet by following the above-mentioned steps in the EPA tool. We summarized those results in this final report and presented the findings at the town of Manlius Zoom Board Meeting on the evening of 28</w:t>
      </w:r>
      <w:r w:rsidRPr="0053234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 We will also recommend ways to reduce GHG emissions and help Manlius town in becoming a Certified Climate Smart Community as per the guidelines of the </w:t>
      </w:r>
      <w:r>
        <w:rPr>
          <w:rFonts w:ascii="Times New Roman" w:eastAsia="Times New Roman" w:hAnsi="Times New Roman" w:cs="Times New Roman"/>
          <w:color w:val="000000"/>
          <w:sz w:val="24"/>
          <w:szCs w:val="24"/>
        </w:rPr>
        <w:t>CSC</w:t>
      </w:r>
      <w:r w:rsidRPr="00CF0134">
        <w:rPr>
          <w:rFonts w:ascii="Times New Roman" w:eastAsia="Times New Roman" w:hAnsi="Times New Roman" w:cs="Times New Roman"/>
          <w:color w:val="000000"/>
          <w:sz w:val="24"/>
          <w:szCs w:val="24"/>
        </w:rPr>
        <w:t xml:space="preserve"> Certification program</w:t>
      </w:r>
      <w:r>
        <w:rPr>
          <w:rFonts w:ascii="Times New Roman" w:eastAsia="Times New Roman" w:hAnsi="Times New Roman" w:cs="Times New Roman"/>
          <w:color w:val="000000"/>
          <w:sz w:val="24"/>
          <w:szCs w:val="24"/>
        </w:rPr>
        <w:t xml:space="preserve"> and paving the path of New York State towards </w:t>
      </w:r>
      <w:r>
        <w:rPr>
          <w:rFonts w:ascii="Times New Roman" w:hAnsi="Times New Roman" w:cs="Times New Roman"/>
          <w:sz w:val="24"/>
          <w:szCs w:val="24"/>
        </w:rPr>
        <w:t>achieving the goal of becoming a carbon-neutral state.</w:t>
      </w:r>
    </w:p>
    <w:p w14:paraId="688D420C" w14:textId="13966551" w:rsidR="009520FC" w:rsidRPr="00D05EB4" w:rsidRDefault="0060332B" w:rsidP="001636BB">
      <w:pPr>
        <w:pStyle w:val="Heading1"/>
        <w:spacing w:line="240" w:lineRule="auto"/>
        <w:rPr>
          <w:rFonts w:ascii="Times New Roman" w:hAnsi="Times New Roman" w:cs="Times New Roman"/>
          <w:b/>
          <w:bCs/>
          <w:color w:val="385623" w:themeColor="accent6" w:themeShade="80"/>
        </w:rPr>
      </w:pPr>
      <w:r w:rsidRPr="00D05EB4">
        <w:rPr>
          <w:rFonts w:ascii="Times New Roman" w:hAnsi="Times New Roman" w:cs="Times New Roman"/>
          <w:b/>
          <w:bCs/>
          <w:color w:val="385623" w:themeColor="accent6" w:themeShade="80"/>
        </w:rPr>
        <w:t>Emissions Sectors</w:t>
      </w:r>
      <w:bookmarkEnd w:id="7"/>
    </w:p>
    <w:p w14:paraId="0796D177" w14:textId="6AF40515" w:rsidR="00F97162" w:rsidRDefault="00F97162" w:rsidP="001636BB">
      <w:pPr>
        <w:pStyle w:val="Heading2"/>
        <w:spacing w:line="240" w:lineRule="auto"/>
        <w:rPr>
          <w:rFonts w:ascii="Times New Roman" w:hAnsi="Times New Roman" w:cs="Times New Roman"/>
          <w:b/>
          <w:bCs/>
          <w:color w:val="385623" w:themeColor="accent6" w:themeShade="80"/>
        </w:rPr>
      </w:pPr>
      <w:bookmarkStart w:id="8" w:name="_Toc71547926"/>
      <w:r w:rsidRPr="00D05EB4">
        <w:rPr>
          <w:rFonts w:ascii="Times New Roman" w:hAnsi="Times New Roman" w:cs="Times New Roman"/>
          <w:b/>
          <w:bCs/>
          <w:color w:val="385623" w:themeColor="accent6" w:themeShade="80"/>
        </w:rPr>
        <w:t>Vehicle Fleet</w:t>
      </w:r>
      <w:bookmarkEnd w:id="8"/>
      <w:r w:rsidRPr="00D05EB4">
        <w:rPr>
          <w:rFonts w:ascii="Times New Roman" w:hAnsi="Times New Roman" w:cs="Times New Roman"/>
          <w:b/>
          <w:bCs/>
          <w:color w:val="385623" w:themeColor="accent6" w:themeShade="80"/>
        </w:rPr>
        <w:t xml:space="preserve"> </w:t>
      </w:r>
    </w:p>
    <w:p w14:paraId="2E73F1E3" w14:textId="54632E0E" w:rsidR="00B62EC8" w:rsidRDefault="00B62EC8" w:rsidP="00B62EC8">
      <w:pPr>
        <w:tabs>
          <w:tab w:val="left" w:pos="399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three types of fossil fuels which are being used in the vehicles of Manlius town and these fuels are gasoline, kerosene, and diesel. </w:t>
      </w:r>
      <w:r w:rsidR="008A2D01">
        <w:rPr>
          <w:rFonts w:ascii="Times New Roman" w:hAnsi="Times New Roman" w:cs="Times New Roman"/>
          <w:sz w:val="24"/>
          <w:szCs w:val="24"/>
        </w:rPr>
        <w:t xml:space="preserve">Kerosene is mixed into diesel fuels during winter months in a 70/30 ratio to prevent the diesel from gelling. </w:t>
      </w:r>
      <w:r>
        <w:rPr>
          <w:rFonts w:ascii="Times New Roman" w:hAnsi="Times New Roman" w:cs="Times New Roman"/>
          <w:sz w:val="24"/>
          <w:szCs w:val="24"/>
        </w:rPr>
        <w:t xml:space="preserve">The annual gallons consumption of these fossil fuels was provided by Town of Manlius. This data was used to calculate average miles per gallon for gasoline and diesel fuel. Annual gallons consumed were multiplied with average miles per gallons to obtain vehicle miles travelled (VMT) for gasoline and diesel since EPA tool needs this information in VMT. For kerosene, annual gallons consumed was multiplied with emissions factor of 10.15 </w:t>
      </w:r>
      <w:r w:rsidRPr="00FF13B1">
        <w:rPr>
          <w:rFonts w:ascii="Times New Roman" w:hAnsi="Times New Roman" w:cs="Times New Roman"/>
          <w:color w:val="000000"/>
          <w:sz w:val="24"/>
          <w:szCs w:val="24"/>
        </w:rPr>
        <w:t>kg CO</w:t>
      </w:r>
      <w:r w:rsidRPr="00FF13B1">
        <w:rPr>
          <w:rFonts w:ascii="Times New Roman" w:hAnsi="Times New Roman" w:cs="Times New Roman"/>
          <w:color w:val="000000"/>
          <w:sz w:val="24"/>
          <w:szCs w:val="24"/>
          <w:vertAlign w:val="subscript"/>
        </w:rPr>
        <w:t>2</w:t>
      </w:r>
      <w:r w:rsidRPr="00FF13B1">
        <w:rPr>
          <w:rFonts w:ascii="Times New Roman" w:hAnsi="Times New Roman" w:cs="Times New Roman"/>
          <w:color w:val="000000"/>
          <w:sz w:val="24"/>
          <w:szCs w:val="24"/>
        </w:rPr>
        <w:t>/gallo</w:t>
      </w:r>
      <w:r>
        <w:rPr>
          <w:rFonts w:ascii="Times New Roman" w:hAnsi="Times New Roman" w:cs="Times New Roman"/>
          <w:color w:val="000000"/>
          <w:sz w:val="24"/>
          <w:szCs w:val="24"/>
        </w:rPr>
        <w:t xml:space="preserve">ns that was </w:t>
      </w:r>
      <w:r>
        <w:rPr>
          <w:rFonts w:ascii="Times New Roman" w:hAnsi="Times New Roman" w:cs="Times New Roman"/>
          <w:sz w:val="24"/>
          <w:szCs w:val="24"/>
        </w:rPr>
        <w:t>provided by ICLEI protocol and converted into metric tons. The details of data along with their associated greenhouse gas emissions are provided in Table 1 and</w:t>
      </w:r>
      <w:r w:rsidR="0079477F">
        <w:rPr>
          <w:rFonts w:ascii="Times New Roman" w:hAnsi="Times New Roman" w:cs="Times New Roman"/>
          <w:sz w:val="24"/>
          <w:szCs w:val="24"/>
        </w:rPr>
        <w:t xml:space="preserve"> </w:t>
      </w:r>
      <w:r>
        <w:rPr>
          <w:rFonts w:ascii="Times New Roman" w:hAnsi="Times New Roman" w:cs="Times New Roman"/>
          <w:sz w:val="24"/>
          <w:szCs w:val="24"/>
        </w:rPr>
        <w:t>Fig. 5 below:</w:t>
      </w:r>
    </w:p>
    <w:tbl>
      <w:tblPr>
        <w:tblStyle w:val="GridTable1Light-Accent6"/>
        <w:tblpPr w:leftFromText="180" w:rightFromText="180" w:vertAnchor="text" w:horzAnchor="margin" w:tblpXSpec="center" w:tblpY="66"/>
        <w:tblW w:w="7917" w:type="dxa"/>
        <w:shd w:val="clear" w:color="auto" w:fill="E7E6E6" w:themeFill="background2"/>
        <w:tblLook w:val="0000" w:firstRow="0" w:lastRow="0" w:firstColumn="0" w:lastColumn="0" w:noHBand="0" w:noVBand="0"/>
      </w:tblPr>
      <w:tblGrid>
        <w:gridCol w:w="1203"/>
        <w:gridCol w:w="1243"/>
        <w:gridCol w:w="1596"/>
        <w:gridCol w:w="1376"/>
        <w:gridCol w:w="1136"/>
        <w:gridCol w:w="1363"/>
      </w:tblGrid>
      <w:tr w:rsidR="0079477F" w14:paraId="63A856A0" w14:textId="77777777" w:rsidTr="0079477F">
        <w:trPr>
          <w:trHeight w:val="166"/>
        </w:trPr>
        <w:tc>
          <w:tcPr>
            <w:tcW w:w="0" w:type="auto"/>
            <w:shd w:val="clear" w:color="auto" w:fill="E7E6E6" w:themeFill="background2"/>
          </w:tcPr>
          <w:p w14:paraId="4D14466F" w14:textId="77777777" w:rsidR="0079477F" w:rsidRPr="00257942" w:rsidRDefault="0079477F" w:rsidP="0079477F">
            <w:pPr>
              <w:rPr>
                <w:rFonts w:ascii="Times New Roman" w:hAnsi="Times New Roman" w:cs="Times New Roman"/>
                <w:sz w:val="24"/>
                <w:szCs w:val="24"/>
              </w:rPr>
            </w:pPr>
            <w:r>
              <w:rPr>
                <w:rFonts w:ascii="Times New Roman" w:hAnsi="Times New Roman" w:cs="Times New Roman"/>
                <w:sz w:val="24"/>
                <w:szCs w:val="24"/>
              </w:rPr>
              <w:t>Name</w:t>
            </w:r>
          </w:p>
        </w:tc>
        <w:tc>
          <w:tcPr>
            <w:tcW w:w="0" w:type="auto"/>
            <w:shd w:val="clear" w:color="auto" w:fill="E7E6E6" w:themeFill="background2"/>
          </w:tcPr>
          <w:p w14:paraId="1DDEF867" w14:textId="77777777" w:rsidR="0079477F" w:rsidRPr="00257942"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Gallons Consumed</w:t>
            </w:r>
          </w:p>
        </w:tc>
        <w:tc>
          <w:tcPr>
            <w:tcW w:w="1596" w:type="dxa"/>
            <w:shd w:val="clear" w:color="auto" w:fill="E7E6E6" w:themeFill="background2"/>
          </w:tcPr>
          <w:p w14:paraId="0DEC465C" w14:textId="77777777" w:rsidR="0079477F"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Miles per gallon</w:t>
            </w:r>
          </w:p>
          <w:p w14:paraId="3C540114" w14:textId="77777777" w:rsidR="0079477F" w:rsidRDefault="0079477F" w:rsidP="0079477F">
            <w:pPr>
              <w:rPr>
                <w:rFonts w:ascii="Times New Roman" w:hAnsi="Times New Roman" w:cs="Times New Roman"/>
                <w:sz w:val="24"/>
                <w:szCs w:val="24"/>
              </w:rPr>
            </w:pPr>
          </w:p>
          <w:p w14:paraId="7DBA24F1" w14:textId="77777777" w:rsidR="0079477F" w:rsidRDefault="0079477F" w:rsidP="0079477F">
            <w:pPr>
              <w:rPr>
                <w:rFonts w:ascii="Times New Roman" w:hAnsi="Times New Roman" w:cs="Times New Roman"/>
                <w:sz w:val="24"/>
                <w:szCs w:val="24"/>
              </w:rPr>
            </w:pPr>
          </w:p>
          <w:p w14:paraId="69283918" w14:textId="77777777" w:rsidR="0079477F" w:rsidRPr="004B5F0D" w:rsidRDefault="0079477F" w:rsidP="0079477F">
            <w:pPr>
              <w:tabs>
                <w:tab w:val="left" w:pos="1380"/>
              </w:tabs>
              <w:rPr>
                <w:rFonts w:ascii="Times New Roman" w:hAnsi="Times New Roman" w:cs="Times New Roman"/>
                <w:sz w:val="24"/>
                <w:szCs w:val="24"/>
              </w:rPr>
            </w:pPr>
            <w:r>
              <w:rPr>
                <w:rFonts w:ascii="Times New Roman" w:hAnsi="Times New Roman" w:cs="Times New Roman"/>
                <w:sz w:val="24"/>
                <w:szCs w:val="24"/>
              </w:rPr>
              <w:tab/>
            </w:r>
          </w:p>
        </w:tc>
        <w:tc>
          <w:tcPr>
            <w:tcW w:w="1376" w:type="dxa"/>
            <w:shd w:val="clear" w:color="auto" w:fill="E7E6E6" w:themeFill="background2"/>
          </w:tcPr>
          <w:p w14:paraId="47233E30" w14:textId="77777777" w:rsidR="0079477F" w:rsidRPr="00257942"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Emissions Factor for Kerosene</w:t>
            </w:r>
            <w:r>
              <w:rPr>
                <w:rFonts w:ascii="Times New Roman" w:hAnsi="Times New Roman" w:cs="Times New Roman"/>
                <w:sz w:val="24"/>
                <w:szCs w:val="24"/>
              </w:rPr>
              <w:t xml:space="preserve"> </w:t>
            </w:r>
            <w:r w:rsidRPr="00FF13B1">
              <w:rPr>
                <w:rFonts w:ascii="Times New Roman" w:hAnsi="Times New Roman" w:cs="Times New Roman"/>
                <w:sz w:val="24"/>
                <w:szCs w:val="24"/>
              </w:rPr>
              <w:t>(</w:t>
            </w:r>
            <w:r w:rsidRPr="00FF13B1">
              <w:rPr>
                <w:rFonts w:ascii="Times New Roman" w:hAnsi="Times New Roman" w:cs="Times New Roman"/>
                <w:color w:val="000000"/>
                <w:sz w:val="24"/>
                <w:szCs w:val="24"/>
              </w:rPr>
              <w:t>kg CO</w:t>
            </w:r>
            <w:r w:rsidRPr="00FF13B1">
              <w:rPr>
                <w:rFonts w:ascii="Times New Roman" w:hAnsi="Times New Roman" w:cs="Times New Roman"/>
                <w:color w:val="000000"/>
                <w:sz w:val="24"/>
                <w:szCs w:val="24"/>
                <w:vertAlign w:val="subscript"/>
              </w:rPr>
              <w:t>2</w:t>
            </w:r>
            <w:r w:rsidRPr="00FF13B1">
              <w:rPr>
                <w:rFonts w:ascii="Times New Roman" w:hAnsi="Times New Roman" w:cs="Times New Roman"/>
                <w:color w:val="000000"/>
                <w:sz w:val="24"/>
                <w:szCs w:val="24"/>
              </w:rPr>
              <w:t>/gallon)</w:t>
            </w:r>
          </w:p>
        </w:tc>
        <w:tc>
          <w:tcPr>
            <w:tcW w:w="1136" w:type="dxa"/>
            <w:shd w:val="clear" w:color="auto" w:fill="E7E6E6" w:themeFill="background2"/>
          </w:tcPr>
          <w:p w14:paraId="2E158391" w14:textId="77777777" w:rsidR="0079477F" w:rsidRPr="00257942"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Vehicle Miles Travelled</w:t>
            </w:r>
          </w:p>
        </w:tc>
        <w:tc>
          <w:tcPr>
            <w:tcW w:w="0" w:type="auto"/>
            <w:shd w:val="clear" w:color="auto" w:fill="E7E6E6" w:themeFill="background2"/>
          </w:tcPr>
          <w:p w14:paraId="0A651A23" w14:textId="1443375A" w:rsidR="0079477F" w:rsidRPr="00257942"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Greenhouse Gas Emissions (MTCO</w:t>
            </w:r>
            <w:r w:rsidRPr="00257942">
              <w:rPr>
                <w:rFonts w:ascii="Times New Roman" w:hAnsi="Times New Roman" w:cs="Times New Roman"/>
                <w:sz w:val="24"/>
                <w:szCs w:val="24"/>
                <w:vertAlign w:val="subscript"/>
              </w:rPr>
              <w:t>2</w:t>
            </w:r>
            <w:r w:rsidRPr="00AF7F1E">
              <w:rPr>
                <w:rFonts w:ascii="Times New Roman" w:hAnsi="Times New Roman" w:cs="Times New Roman"/>
                <w:sz w:val="24"/>
                <w:szCs w:val="24"/>
              </w:rPr>
              <w:t>e</w:t>
            </w:r>
            <w:r w:rsidRPr="00257942">
              <w:rPr>
                <w:rFonts w:ascii="Times New Roman" w:hAnsi="Times New Roman" w:cs="Times New Roman"/>
                <w:sz w:val="24"/>
                <w:szCs w:val="24"/>
              </w:rPr>
              <w:t>)</w:t>
            </w:r>
          </w:p>
        </w:tc>
      </w:tr>
      <w:tr w:rsidR="0079477F" w14:paraId="5D164158" w14:textId="77777777" w:rsidTr="0079477F">
        <w:trPr>
          <w:trHeight w:val="96"/>
        </w:trPr>
        <w:tc>
          <w:tcPr>
            <w:tcW w:w="0" w:type="auto"/>
            <w:shd w:val="clear" w:color="auto" w:fill="E7E6E6" w:themeFill="background2"/>
          </w:tcPr>
          <w:p w14:paraId="4C1034E1" w14:textId="77777777" w:rsidR="0079477F" w:rsidRPr="00257942"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Gasoline</w:t>
            </w:r>
          </w:p>
        </w:tc>
        <w:tc>
          <w:tcPr>
            <w:tcW w:w="0" w:type="auto"/>
            <w:shd w:val="clear" w:color="auto" w:fill="E7E6E6" w:themeFill="background2"/>
          </w:tcPr>
          <w:p w14:paraId="24C98623" w14:textId="77777777" w:rsidR="0079477F" w:rsidRPr="00257942"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35645</w:t>
            </w:r>
          </w:p>
        </w:tc>
        <w:tc>
          <w:tcPr>
            <w:tcW w:w="1596" w:type="dxa"/>
            <w:shd w:val="clear" w:color="auto" w:fill="E7E6E6" w:themeFill="background2"/>
          </w:tcPr>
          <w:p w14:paraId="622BC3DB" w14:textId="77777777" w:rsidR="0079477F" w:rsidRPr="00257942"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20.3</w:t>
            </w:r>
          </w:p>
        </w:tc>
        <w:tc>
          <w:tcPr>
            <w:tcW w:w="1376" w:type="dxa"/>
            <w:shd w:val="clear" w:color="auto" w:fill="E7E6E6" w:themeFill="background2"/>
          </w:tcPr>
          <w:p w14:paraId="44058BEA" w14:textId="77777777" w:rsidR="0079477F" w:rsidRPr="00257942" w:rsidRDefault="0079477F" w:rsidP="0079477F">
            <w:pPr>
              <w:rPr>
                <w:rFonts w:ascii="Times New Roman" w:hAnsi="Times New Roman" w:cs="Times New Roman"/>
                <w:sz w:val="24"/>
                <w:szCs w:val="24"/>
              </w:rPr>
            </w:pPr>
            <w:r>
              <w:rPr>
                <w:rFonts w:ascii="Times New Roman" w:hAnsi="Times New Roman" w:cs="Times New Roman"/>
                <w:sz w:val="24"/>
                <w:szCs w:val="24"/>
              </w:rPr>
              <w:t>-</w:t>
            </w:r>
          </w:p>
        </w:tc>
        <w:tc>
          <w:tcPr>
            <w:tcW w:w="1136" w:type="dxa"/>
            <w:shd w:val="clear" w:color="auto" w:fill="E7E6E6" w:themeFill="background2"/>
          </w:tcPr>
          <w:p w14:paraId="23D5644E" w14:textId="77777777" w:rsidR="0079477F" w:rsidRPr="00257942"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723,593</w:t>
            </w:r>
          </w:p>
        </w:tc>
        <w:tc>
          <w:tcPr>
            <w:tcW w:w="0" w:type="auto"/>
            <w:shd w:val="clear" w:color="auto" w:fill="E7E6E6" w:themeFill="background2"/>
          </w:tcPr>
          <w:p w14:paraId="4C75C513" w14:textId="77777777" w:rsidR="0079477F" w:rsidRPr="00257942"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313</w:t>
            </w:r>
          </w:p>
        </w:tc>
      </w:tr>
      <w:tr w:rsidR="0079477F" w14:paraId="46B5C074" w14:textId="77777777" w:rsidTr="0079477F">
        <w:trPr>
          <w:trHeight w:val="109"/>
        </w:trPr>
        <w:tc>
          <w:tcPr>
            <w:tcW w:w="0" w:type="auto"/>
            <w:shd w:val="clear" w:color="auto" w:fill="E7E6E6" w:themeFill="background2"/>
          </w:tcPr>
          <w:p w14:paraId="39D5A5D6" w14:textId="77777777" w:rsidR="0079477F" w:rsidRPr="00257942"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Diesel</w:t>
            </w:r>
          </w:p>
        </w:tc>
        <w:tc>
          <w:tcPr>
            <w:tcW w:w="0" w:type="auto"/>
            <w:shd w:val="clear" w:color="auto" w:fill="E7E6E6" w:themeFill="background2"/>
          </w:tcPr>
          <w:p w14:paraId="5447C68D" w14:textId="77777777" w:rsidR="0079477F" w:rsidRPr="00257942"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38000</w:t>
            </w:r>
          </w:p>
        </w:tc>
        <w:tc>
          <w:tcPr>
            <w:tcW w:w="1596" w:type="dxa"/>
            <w:shd w:val="clear" w:color="auto" w:fill="E7E6E6" w:themeFill="background2"/>
          </w:tcPr>
          <w:p w14:paraId="6098F7D2" w14:textId="77777777" w:rsidR="0079477F" w:rsidRPr="00257942"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11.3</w:t>
            </w:r>
          </w:p>
        </w:tc>
        <w:tc>
          <w:tcPr>
            <w:tcW w:w="1376" w:type="dxa"/>
            <w:shd w:val="clear" w:color="auto" w:fill="E7E6E6" w:themeFill="background2"/>
          </w:tcPr>
          <w:p w14:paraId="67682301" w14:textId="77777777" w:rsidR="0079477F" w:rsidRPr="00257942" w:rsidRDefault="0079477F" w:rsidP="0079477F">
            <w:pPr>
              <w:rPr>
                <w:rFonts w:ascii="Times New Roman" w:hAnsi="Times New Roman" w:cs="Times New Roman"/>
                <w:sz w:val="24"/>
                <w:szCs w:val="24"/>
              </w:rPr>
            </w:pPr>
            <w:r>
              <w:rPr>
                <w:rFonts w:ascii="Times New Roman" w:hAnsi="Times New Roman" w:cs="Times New Roman"/>
                <w:sz w:val="24"/>
                <w:szCs w:val="24"/>
              </w:rPr>
              <w:t>-</w:t>
            </w:r>
          </w:p>
        </w:tc>
        <w:tc>
          <w:tcPr>
            <w:tcW w:w="1136" w:type="dxa"/>
            <w:shd w:val="clear" w:color="auto" w:fill="E7E6E6" w:themeFill="background2"/>
          </w:tcPr>
          <w:p w14:paraId="2113D6E6" w14:textId="77777777" w:rsidR="0079477F" w:rsidRPr="00257942"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429,400</w:t>
            </w:r>
          </w:p>
        </w:tc>
        <w:tc>
          <w:tcPr>
            <w:tcW w:w="0" w:type="auto"/>
            <w:shd w:val="clear" w:color="auto" w:fill="E7E6E6" w:themeFill="background2"/>
          </w:tcPr>
          <w:p w14:paraId="112800DC" w14:textId="77777777" w:rsidR="0079477F" w:rsidRPr="00257942"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388</w:t>
            </w:r>
          </w:p>
        </w:tc>
      </w:tr>
      <w:tr w:rsidR="0079477F" w14:paraId="23F0862B" w14:textId="77777777" w:rsidTr="0079477F">
        <w:trPr>
          <w:trHeight w:val="104"/>
        </w:trPr>
        <w:tc>
          <w:tcPr>
            <w:tcW w:w="0" w:type="auto"/>
            <w:shd w:val="clear" w:color="auto" w:fill="E7E6E6" w:themeFill="background2"/>
          </w:tcPr>
          <w:p w14:paraId="45A4F563" w14:textId="77777777" w:rsidR="0079477F" w:rsidRPr="00257942" w:rsidRDefault="0079477F" w:rsidP="0079477F">
            <w:pPr>
              <w:spacing w:after="160"/>
              <w:rPr>
                <w:rFonts w:ascii="Times New Roman" w:hAnsi="Times New Roman" w:cs="Times New Roman"/>
                <w:sz w:val="24"/>
                <w:szCs w:val="24"/>
              </w:rPr>
            </w:pPr>
            <w:r w:rsidRPr="00257942">
              <w:rPr>
                <w:rFonts w:ascii="Times New Roman" w:hAnsi="Times New Roman" w:cs="Times New Roman"/>
                <w:sz w:val="24"/>
                <w:szCs w:val="24"/>
              </w:rPr>
              <w:t>Kerosene</w:t>
            </w:r>
          </w:p>
        </w:tc>
        <w:tc>
          <w:tcPr>
            <w:tcW w:w="0" w:type="auto"/>
            <w:shd w:val="clear" w:color="auto" w:fill="E7E6E6" w:themeFill="background2"/>
          </w:tcPr>
          <w:p w14:paraId="6466A93C" w14:textId="77777777" w:rsidR="0079477F" w:rsidRPr="00257942" w:rsidRDefault="0079477F" w:rsidP="0079477F">
            <w:pPr>
              <w:spacing w:after="160"/>
              <w:rPr>
                <w:rFonts w:ascii="Times New Roman" w:hAnsi="Times New Roman" w:cs="Times New Roman"/>
                <w:sz w:val="24"/>
                <w:szCs w:val="24"/>
              </w:rPr>
            </w:pPr>
            <w:r w:rsidRPr="00257942">
              <w:rPr>
                <w:rFonts w:ascii="Times New Roman" w:hAnsi="Times New Roman" w:cs="Times New Roman"/>
                <w:sz w:val="24"/>
                <w:szCs w:val="24"/>
              </w:rPr>
              <w:t>6643</w:t>
            </w:r>
          </w:p>
        </w:tc>
        <w:tc>
          <w:tcPr>
            <w:tcW w:w="1596" w:type="dxa"/>
            <w:shd w:val="clear" w:color="auto" w:fill="E7E6E6" w:themeFill="background2"/>
          </w:tcPr>
          <w:p w14:paraId="51774D92" w14:textId="77777777" w:rsidR="0079477F" w:rsidRPr="00257942" w:rsidRDefault="0079477F" w:rsidP="0079477F">
            <w:pPr>
              <w:spacing w:after="160"/>
              <w:rPr>
                <w:rFonts w:ascii="Times New Roman" w:hAnsi="Times New Roman" w:cs="Times New Roman"/>
                <w:sz w:val="24"/>
                <w:szCs w:val="24"/>
              </w:rPr>
            </w:pPr>
            <w:r>
              <w:rPr>
                <w:rFonts w:ascii="Times New Roman" w:hAnsi="Times New Roman" w:cs="Times New Roman"/>
                <w:sz w:val="24"/>
                <w:szCs w:val="24"/>
              </w:rPr>
              <w:t>-</w:t>
            </w:r>
          </w:p>
        </w:tc>
        <w:tc>
          <w:tcPr>
            <w:tcW w:w="1376" w:type="dxa"/>
            <w:shd w:val="clear" w:color="auto" w:fill="E7E6E6" w:themeFill="background2"/>
          </w:tcPr>
          <w:p w14:paraId="68E7ADA8" w14:textId="77777777" w:rsidR="0079477F" w:rsidRPr="00257942" w:rsidRDefault="0079477F" w:rsidP="0079477F">
            <w:pPr>
              <w:rPr>
                <w:rFonts w:ascii="Times New Roman" w:hAnsi="Times New Roman" w:cs="Times New Roman"/>
                <w:sz w:val="24"/>
                <w:szCs w:val="24"/>
              </w:rPr>
            </w:pPr>
            <w:r w:rsidRPr="00257942">
              <w:rPr>
                <w:rFonts w:ascii="Times New Roman" w:hAnsi="Times New Roman" w:cs="Times New Roman"/>
                <w:sz w:val="24"/>
                <w:szCs w:val="24"/>
              </w:rPr>
              <w:t>10.15</w:t>
            </w:r>
          </w:p>
        </w:tc>
        <w:tc>
          <w:tcPr>
            <w:tcW w:w="1136" w:type="dxa"/>
            <w:shd w:val="clear" w:color="auto" w:fill="E7E6E6" w:themeFill="background2"/>
          </w:tcPr>
          <w:p w14:paraId="1AFDFB26" w14:textId="77777777" w:rsidR="0079477F" w:rsidRPr="00257942" w:rsidRDefault="0079477F" w:rsidP="0079477F">
            <w:pPr>
              <w:spacing w:after="160"/>
              <w:rPr>
                <w:rFonts w:ascii="Times New Roman" w:hAnsi="Times New Roman" w:cs="Times New Roman"/>
                <w:sz w:val="24"/>
                <w:szCs w:val="24"/>
              </w:rPr>
            </w:pPr>
            <w:r w:rsidRPr="00257942">
              <w:rPr>
                <w:rFonts w:ascii="Times New Roman" w:hAnsi="Times New Roman" w:cs="Times New Roman"/>
                <w:sz w:val="24"/>
                <w:szCs w:val="24"/>
              </w:rPr>
              <w:t>-</w:t>
            </w:r>
          </w:p>
        </w:tc>
        <w:tc>
          <w:tcPr>
            <w:tcW w:w="0" w:type="auto"/>
            <w:shd w:val="clear" w:color="auto" w:fill="E7E6E6" w:themeFill="background2"/>
          </w:tcPr>
          <w:p w14:paraId="1C98909D" w14:textId="77777777" w:rsidR="0079477F" w:rsidRPr="00257942" w:rsidRDefault="0079477F" w:rsidP="0079477F">
            <w:pPr>
              <w:spacing w:after="160"/>
              <w:rPr>
                <w:rFonts w:ascii="Times New Roman" w:hAnsi="Times New Roman" w:cs="Times New Roman"/>
                <w:sz w:val="24"/>
                <w:szCs w:val="24"/>
              </w:rPr>
            </w:pPr>
            <w:r w:rsidRPr="00257942">
              <w:rPr>
                <w:rFonts w:ascii="Times New Roman" w:hAnsi="Times New Roman" w:cs="Times New Roman"/>
                <w:sz w:val="24"/>
                <w:szCs w:val="24"/>
              </w:rPr>
              <w:t>69.75</w:t>
            </w:r>
          </w:p>
        </w:tc>
      </w:tr>
      <w:tr w:rsidR="0079477F" w14:paraId="425CC99D" w14:textId="77777777" w:rsidTr="0079477F">
        <w:trPr>
          <w:trHeight w:val="28"/>
        </w:trPr>
        <w:tc>
          <w:tcPr>
            <w:tcW w:w="0" w:type="auto"/>
            <w:shd w:val="clear" w:color="auto" w:fill="E7E6E6" w:themeFill="background2"/>
          </w:tcPr>
          <w:p w14:paraId="5D57DCC3" w14:textId="77777777" w:rsidR="0079477F" w:rsidRPr="00257942" w:rsidRDefault="0079477F" w:rsidP="0079477F">
            <w:pPr>
              <w:spacing w:after="160"/>
              <w:rPr>
                <w:rFonts w:ascii="Times New Roman" w:hAnsi="Times New Roman" w:cs="Times New Roman"/>
                <w:sz w:val="24"/>
                <w:szCs w:val="24"/>
              </w:rPr>
            </w:pPr>
            <w:r>
              <w:rPr>
                <w:rFonts w:ascii="Times New Roman" w:hAnsi="Times New Roman" w:cs="Times New Roman"/>
                <w:sz w:val="24"/>
                <w:szCs w:val="24"/>
              </w:rPr>
              <w:t>Total Emissions</w:t>
            </w:r>
          </w:p>
        </w:tc>
        <w:tc>
          <w:tcPr>
            <w:tcW w:w="0" w:type="auto"/>
            <w:shd w:val="clear" w:color="auto" w:fill="E7E6E6" w:themeFill="background2"/>
          </w:tcPr>
          <w:p w14:paraId="0EBD0713" w14:textId="77777777" w:rsidR="0079477F" w:rsidRPr="00257942" w:rsidRDefault="0079477F" w:rsidP="0079477F">
            <w:pPr>
              <w:spacing w:after="160"/>
              <w:rPr>
                <w:rFonts w:ascii="Times New Roman" w:hAnsi="Times New Roman" w:cs="Times New Roman"/>
                <w:sz w:val="24"/>
                <w:szCs w:val="24"/>
              </w:rPr>
            </w:pPr>
            <w:r>
              <w:rPr>
                <w:rFonts w:ascii="Times New Roman" w:hAnsi="Times New Roman" w:cs="Times New Roman"/>
                <w:sz w:val="24"/>
                <w:szCs w:val="24"/>
              </w:rPr>
              <w:t>-</w:t>
            </w:r>
          </w:p>
        </w:tc>
        <w:tc>
          <w:tcPr>
            <w:tcW w:w="1596" w:type="dxa"/>
            <w:shd w:val="clear" w:color="auto" w:fill="E7E6E6" w:themeFill="background2"/>
          </w:tcPr>
          <w:p w14:paraId="04C51C67" w14:textId="77777777" w:rsidR="0079477F" w:rsidRPr="00257942" w:rsidRDefault="0079477F" w:rsidP="0079477F">
            <w:pPr>
              <w:spacing w:after="160"/>
              <w:rPr>
                <w:rFonts w:ascii="Times New Roman" w:hAnsi="Times New Roman" w:cs="Times New Roman"/>
                <w:sz w:val="24"/>
                <w:szCs w:val="24"/>
              </w:rPr>
            </w:pPr>
            <w:r>
              <w:rPr>
                <w:rFonts w:ascii="Times New Roman" w:hAnsi="Times New Roman" w:cs="Times New Roman"/>
                <w:sz w:val="24"/>
                <w:szCs w:val="24"/>
              </w:rPr>
              <w:t>-</w:t>
            </w:r>
          </w:p>
        </w:tc>
        <w:tc>
          <w:tcPr>
            <w:tcW w:w="1376" w:type="dxa"/>
            <w:shd w:val="clear" w:color="auto" w:fill="E7E6E6" w:themeFill="background2"/>
          </w:tcPr>
          <w:p w14:paraId="18DF4D3F" w14:textId="77777777" w:rsidR="0079477F" w:rsidRDefault="0079477F" w:rsidP="0079477F">
            <w:pPr>
              <w:rPr>
                <w:rFonts w:ascii="Times New Roman" w:hAnsi="Times New Roman" w:cs="Times New Roman"/>
                <w:sz w:val="24"/>
                <w:szCs w:val="24"/>
              </w:rPr>
            </w:pPr>
            <w:r>
              <w:rPr>
                <w:rFonts w:ascii="Times New Roman" w:hAnsi="Times New Roman" w:cs="Times New Roman"/>
                <w:sz w:val="24"/>
                <w:szCs w:val="24"/>
              </w:rPr>
              <w:t>-</w:t>
            </w:r>
          </w:p>
        </w:tc>
        <w:tc>
          <w:tcPr>
            <w:tcW w:w="1136" w:type="dxa"/>
            <w:shd w:val="clear" w:color="auto" w:fill="E7E6E6" w:themeFill="background2"/>
          </w:tcPr>
          <w:p w14:paraId="49A33BB5" w14:textId="77777777" w:rsidR="0079477F" w:rsidRPr="00257942" w:rsidRDefault="0079477F" w:rsidP="0079477F">
            <w:pPr>
              <w:spacing w:after="160"/>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E7E6E6" w:themeFill="background2"/>
          </w:tcPr>
          <w:p w14:paraId="16367615" w14:textId="77777777" w:rsidR="0079477F" w:rsidRPr="00257942" w:rsidRDefault="0079477F" w:rsidP="0079477F">
            <w:pPr>
              <w:spacing w:after="160"/>
              <w:rPr>
                <w:rFonts w:ascii="Times New Roman" w:hAnsi="Times New Roman" w:cs="Times New Roman"/>
                <w:sz w:val="24"/>
                <w:szCs w:val="24"/>
              </w:rPr>
            </w:pPr>
            <w:r>
              <w:rPr>
                <w:rFonts w:ascii="Times New Roman" w:hAnsi="Times New Roman" w:cs="Times New Roman"/>
                <w:sz w:val="24"/>
                <w:szCs w:val="24"/>
              </w:rPr>
              <w:t>770.75</w:t>
            </w:r>
          </w:p>
        </w:tc>
      </w:tr>
    </w:tbl>
    <w:p w14:paraId="226F50CE" w14:textId="59761779" w:rsidR="00B62EC8" w:rsidRDefault="00B62EC8" w:rsidP="00B62EC8">
      <w:pPr>
        <w:tabs>
          <w:tab w:val="left" w:pos="3990"/>
        </w:tabs>
        <w:spacing w:line="240" w:lineRule="auto"/>
        <w:jc w:val="both"/>
        <w:rPr>
          <w:rFonts w:ascii="Times New Roman" w:hAnsi="Times New Roman" w:cs="Times New Roman"/>
          <w:sz w:val="24"/>
          <w:szCs w:val="24"/>
        </w:rPr>
      </w:pPr>
    </w:p>
    <w:p w14:paraId="5A8737CB" w14:textId="10743D5E" w:rsidR="00B62EC8" w:rsidRDefault="00B62EC8" w:rsidP="00B62EC8">
      <w:pPr>
        <w:tabs>
          <w:tab w:val="left" w:pos="3990"/>
        </w:tabs>
        <w:spacing w:line="240" w:lineRule="auto"/>
        <w:jc w:val="both"/>
        <w:rPr>
          <w:rFonts w:ascii="Times New Roman" w:hAnsi="Times New Roman" w:cs="Times New Roman"/>
          <w:sz w:val="24"/>
          <w:szCs w:val="24"/>
        </w:rPr>
      </w:pPr>
    </w:p>
    <w:p w14:paraId="5662F1B9" w14:textId="2CE0375A" w:rsidR="00B62EC8" w:rsidRDefault="00B62EC8" w:rsidP="00B62EC8">
      <w:pPr>
        <w:tabs>
          <w:tab w:val="left" w:pos="3990"/>
        </w:tabs>
        <w:spacing w:line="240" w:lineRule="auto"/>
        <w:jc w:val="both"/>
        <w:rPr>
          <w:rFonts w:ascii="Times New Roman" w:hAnsi="Times New Roman" w:cs="Times New Roman"/>
          <w:sz w:val="24"/>
          <w:szCs w:val="24"/>
        </w:rPr>
      </w:pPr>
    </w:p>
    <w:p w14:paraId="30B835D0" w14:textId="25F5364B" w:rsidR="00B62EC8" w:rsidRDefault="00B62EC8" w:rsidP="00B62EC8">
      <w:pPr>
        <w:tabs>
          <w:tab w:val="left" w:pos="3990"/>
        </w:tabs>
        <w:spacing w:line="240" w:lineRule="auto"/>
        <w:jc w:val="both"/>
        <w:rPr>
          <w:rFonts w:ascii="Times New Roman" w:hAnsi="Times New Roman" w:cs="Times New Roman"/>
          <w:sz w:val="24"/>
          <w:szCs w:val="24"/>
        </w:rPr>
      </w:pPr>
    </w:p>
    <w:p w14:paraId="4B30AAE5" w14:textId="2518F041" w:rsidR="00B62EC8" w:rsidRDefault="00B62EC8" w:rsidP="00B62EC8">
      <w:pPr>
        <w:tabs>
          <w:tab w:val="left" w:pos="3990"/>
        </w:tabs>
        <w:spacing w:line="240" w:lineRule="auto"/>
        <w:jc w:val="both"/>
        <w:rPr>
          <w:rFonts w:ascii="Times New Roman" w:hAnsi="Times New Roman" w:cs="Times New Roman"/>
          <w:sz w:val="24"/>
          <w:szCs w:val="24"/>
        </w:rPr>
      </w:pPr>
    </w:p>
    <w:p w14:paraId="48C5B804" w14:textId="77777777" w:rsidR="00B62EC8" w:rsidRDefault="00B62EC8" w:rsidP="00B62EC8">
      <w:pPr>
        <w:tabs>
          <w:tab w:val="left" w:pos="3990"/>
        </w:tabs>
        <w:spacing w:line="240" w:lineRule="auto"/>
        <w:jc w:val="both"/>
        <w:rPr>
          <w:rFonts w:ascii="Times New Roman" w:hAnsi="Times New Roman" w:cs="Times New Roman"/>
          <w:sz w:val="24"/>
          <w:szCs w:val="24"/>
        </w:rPr>
      </w:pPr>
    </w:p>
    <w:p w14:paraId="275BFD95" w14:textId="0F1C10FA" w:rsidR="00B62EC8" w:rsidRDefault="00B62EC8" w:rsidP="00B62EC8">
      <w:pPr>
        <w:tabs>
          <w:tab w:val="left" w:pos="3990"/>
        </w:tabs>
        <w:spacing w:line="240" w:lineRule="auto"/>
        <w:jc w:val="both"/>
        <w:rPr>
          <w:rFonts w:ascii="Times New Roman" w:hAnsi="Times New Roman" w:cs="Times New Roman"/>
          <w:sz w:val="24"/>
          <w:szCs w:val="24"/>
        </w:rPr>
      </w:pPr>
    </w:p>
    <w:p w14:paraId="53992FF4" w14:textId="77777777" w:rsidR="00B62EC8" w:rsidRDefault="00B62EC8" w:rsidP="00B62EC8">
      <w:pPr>
        <w:tabs>
          <w:tab w:val="left" w:pos="3990"/>
        </w:tabs>
        <w:spacing w:line="240" w:lineRule="auto"/>
        <w:jc w:val="center"/>
        <w:rPr>
          <w:rFonts w:ascii="Times New Roman" w:hAnsi="Times New Roman" w:cs="Times New Roman"/>
          <w:sz w:val="24"/>
          <w:szCs w:val="24"/>
        </w:rPr>
      </w:pPr>
      <w:r>
        <w:rPr>
          <w:rFonts w:ascii="Times New Roman" w:hAnsi="Times New Roman" w:cs="Times New Roman"/>
          <w:sz w:val="24"/>
          <w:szCs w:val="24"/>
        </w:rPr>
        <w:t>Table 1. Vehicle Fleet Sector Data</w:t>
      </w:r>
    </w:p>
    <w:p w14:paraId="42C4041D" w14:textId="60004322" w:rsidR="00B62EC8" w:rsidRDefault="00B62EC8" w:rsidP="00B62EC8">
      <w:pPr>
        <w:tabs>
          <w:tab w:val="left" w:pos="3990"/>
        </w:tabs>
        <w:spacing w:line="240" w:lineRule="auto"/>
        <w:jc w:val="both"/>
        <w:rPr>
          <w:rFonts w:ascii="Times New Roman" w:hAnsi="Times New Roman" w:cs="Times New Roman"/>
          <w:sz w:val="24"/>
          <w:szCs w:val="24"/>
        </w:rPr>
      </w:pPr>
      <w:r>
        <w:rPr>
          <w:noProof/>
        </w:rPr>
        <w:lastRenderedPageBreak/>
        <w:drawing>
          <wp:anchor distT="0" distB="0" distL="114300" distR="114300" simplePos="0" relativeHeight="251658243" behindDoc="1" locked="0" layoutInCell="1" allowOverlap="1" wp14:anchorId="5F8D0964" wp14:editId="2DEB28B6">
            <wp:simplePos x="0" y="0"/>
            <wp:positionH relativeFrom="margin">
              <wp:align>center</wp:align>
            </wp:positionH>
            <wp:positionV relativeFrom="paragraph">
              <wp:posOffset>1905</wp:posOffset>
            </wp:positionV>
            <wp:extent cx="5572125" cy="3067050"/>
            <wp:effectExtent l="0" t="0" r="9525" b="0"/>
            <wp:wrapNone/>
            <wp:docPr id="5" name="Chart 5">
              <a:extLst xmlns:a="http://schemas.openxmlformats.org/drawingml/2006/main">
                <a:ext uri="{FF2B5EF4-FFF2-40B4-BE49-F238E27FC236}">
                  <a16:creationId xmlns:a16="http://schemas.microsoft.com/office/drawing/2014/main" id="{37B89B57-622B-4365-A517-7B7006FB08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1A3A5E3A" w14:textId="098C39F3" w:rsidR="00B62EC8" w:rsidRDefault="00B62EC8" w:rsidP="00B62EC8">
      <w:pPr>
        <w:tabs>
          <w:tab w:val="left" w:pos="3990"/>
        </w:tabs>
        <w:spacing w:line="240" w:lineRule="auto"/>
        <w:jc w:val="both"/>
        <w:rPr>
          <w:rFonts w:ascii="Times New Roman" w:hAnsi="Times New Roman" w:cs="Times New Roman"/>
          <w:sz w:val="24"/>
          <w:szCs w:val="24"/>
        </w:rPr>
      </w:pPr>
    </w:p>
    <w:p w14:paraId="6FD67015" w14:textId="1096BA1C" w:rsidR="00B62EC8" w:rsidRDefault="00B62EC8" w:rsidP="00B62EC8">
      <w:pPr>
        <w:tabs>
          <w:tab w:val="left" w:pos="3990"/>
        </w:tabs>
        <w:spacing w:line="240" w:lineRule="auto"/>
        <w:jc w:val="both"/>
        <w:rPr>
          <w:rFonts w:ascii="Times New Roman" w:hAnsi="Times New Roman" w:cs="Times New Roman"/>
          <w:sz w:val="24"/>
          <w:szCs w:val="24"/>
        </w:rPr>
      </w:pPr>
    </w:p>
    <w:p w14:paraId="016E8DFB" w14:textId="06CF61C0" w:rsidR="00B62EC8" w:rsidRDefault="00B62EC8" w:rsidP="00B62EC8">
      <w:pPr>
        <w:tabs>
          <w:tab w:val="left" w:pos="3990"/>
        </w:tabs>
        <w:spacing w:line="240" w:lineRule="auto"/>
        <w:jc w:val="both"/>
        <w:rPr>
          <w:rFonts w:ascii="Times New Roman" w:hAnsi="Times New Roman" w:cs="Times New Roman"/>
          <w:sz w:val="24"/>
          <w:szCs w:val="24"/>
        </w:rPr>
      </w:pPr>
    </w:p>
    <w:p w14:paraId="64B74FA0" w14:textId="6776A9C4" w:rsidR="00B62EC8" w:rsidRDefault="00B62EC8" w:rsidP="00B62EC8">
      <w:pPr>
        <w:tabs>
          <w:tab w:val="left" w:pos="3990"/>
        </w:tabs>
        <w:spacing w:line="240" w:lineRule="auto"/>
        <w:jc w:val="both"/>
        <w:rPr>
          <w:rFonts w:ascii="Times New Roman" w:hAnsi="Times New Roman" w:cs="Times New Roman"/>
          <w:sz w:val="24"/>
          <w:szCs w:val="24"/>
        </w:rPr>
      </w:pPr>
    </w:p>
    <w:p w14:paraId="4E5BB74B" w14:textId="38243489" w:rsidR="00B62EC8" w:rsidRDefault="00B62EC8" w:rsidP="00B62EC8">
      <w:pPr>
        <w:tabs>
          <w:tab w:val="left" w:pos="3990"/>
        </w:tabs>
        <w:spacing w:line="240" w:lineRule="auto"/>
        <w:jc w:val="both"/>
        <w:rPr>
          <w:rFonts w:ascii="Times New Roman" w:hAnsi="Times New Roman" w:cs="Times New Roman"/>
          <w:sz w:val="24"/>
          <w:szCs w:val="24"/>
        </w:rPr>
      </w:pPr>
    </w:p>
    <w:p w14:paraId="4B5827AA" w14:textId="0FF67E27" w:rsidR="00B62EC8" w:rsidRDefault="00B62EC8" w:rsidP="00B62EC8">
      <w:pPr>
        <w:tabs>
          <w:tab w:val="left" w:pos="3990"/>
        </w:tabs>
        <w:spacing w:line="240" w:lineRule="auto"/>
        <w:jc w:val="both"/>
        <w:rPr>
          <w:rFonts w:ascii="Times New Roman" w:hAnsi="Times New Roman" w:cs="Times New Roman"/>
          <w:sz w:val="24"/>
          <w:szCs w:val="24"/>
        </w:rPr>
      </w:pPr>
    </w:p>
    <w:p w14:paraId="7E524607" w14:textId="35556CA9" w:rsidR="00B62EC8" w:rsidRDefault="00B62EC8" w:rsidP="00B62EC8">
      <w:pPr>
        <w:tabs>
          <w:tab w:val="left" w:pos="3990"/>
        </w:tabs>
        <w:spacing w:line="240" w:lineRule="auto"/>
        <w:jc w:val="both"/>
        <w:rPr>
          <w:rFonts w:ascii="Times New Roman" w:hAnsi="Times New Roman" w:cs="Times New Roman"/>
          <w:sz w:val="24"/>
          <w:szCs w:val="24"/>
        </w:rPr>
      </w:pPr>
    </w:p>
    <w:p w14:paraId="29365B73" w14:textId="77777777" w:rsidR="00B62EC8" w:rsidRPr="00B62EC8" w:rsidRDefault="00B62EC8" w:rsidP="00B62EC8">
      <w:pPr>
        <w:tabs>
          <w:tab w:val="left" w:pos="3990"/>
        </w:tabs>
        <w:spacing w:line="240" w:lineRule="auto"/>
        <w:jc w:val="both"/>
      </w:pPr>
    </w:p>
    <w:p w14:paraId="195E1B95" w14:textId="6C6BBCBD" w:rsidR="001636BB" w:rsidRDefault="001F0FB4" w:rsidP="00B62EC8">
      <w:pPr>
        <w:tabs>
          <w:tab w:val="left" w:pos="399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708B6FA" w14:textId="77777777" w:rsidR="007C0237" w:rsidRDefault="007C0237" w:rsidP="004B5F0D">
      <w:pPr>
        <w:tabs>
          <w:tab w:val="left" w:pos="3990"/>
        </w:tabs>
        <w:spacing w:line="240" w:lineRule="auto"/>
        <w:rPr>
          <w:rFonts w:ascii="Times New Roman" w:hAnsi="Times New Roman" w:cs="Times New Roman"/>
          <w:sz w:val="24"/>
          <w:szCs w:val="24"/>
        </w:rPr>
      </w:pPr>
    </w:p>
    <w:p w14:paraId="4373AF1E" w14:textId="77777777" w:rsidR="00317336" w:rsidRDefault="00317336" w:rsidP="007C0237">
      <w:pPr>
        <w:tabs>
          <w:tab w:val="left" w:pos="3990"/>
        </w:tabs>
        <w:spacing w:line="240" w:lineRule="auto"/>
        <w:jc w:val="center"/>
        <w:rPr>
          <w:rFonts w:ascii="Times New Roman" w:hAnsi="Times New Roman" w:cs="Times New Roman"/>
          <w:sz w:val="24"/>
          <w:szCs w:val="24"/>
        </w:rPr>
      </w:pPr>
    </w:p>
    <w:p w14:paraId="0C494D6B" w14:textId="0D45A265" w:rsidR="007C0237" w:rsidRDefault="001F0FB4" w:rsidP="007C0237">
      <w:pPr>
        <w:tabs>
          <w:tab w:val="left" w:pos="3990"/>
        </w:tabs>
        <w:spacing w:line="240" w:lineRule="auto"/>
        <w:jc w:val="center"/>
        <w:rPr>
          <w:rFonts w:ascii="Times New Roman" w:hAnsi="Times New Roman" w:cs="Times New Roman"/>
          <w:sz w:val="24"/>
          <w:szCs w:val="24"/>
        </w:rPr>
      </w:pPr>
      <w:r>
        <w:rPr>
          <w:rFonts w:ascii="Times New Roman" w:hAnsi="Times New Roman" w:cs="Times New Roman"/>
          <w:sz w:val="24"/>
          <w:szCs w:val="24"/>
        </w:rPr>
        <w:t>Fig. 5.</w:t>
      </w:r>
      <w:r w:rsidR="001636BB">
        <w:rPr>
          <w:rFonts w:ascii="Times New Roman" w:hAnsi="Times New Roman" w:cs="Times New Roman"/>
          <w:sz w:val="24"/>
          <w:szCs w:val="24"/>
        </w:rPr>
        <w:t xml:space="preserve"> Vehicle Fleet Emissions</w:t>
      </w:r>
    </w:p>
    <w:p w14:paraId="5CF710A0" w14:textId="77777777" w:rsidR="00317336" w:rsidRDefault="00317336" w:rsidP="001636BB">
      <w:pPr>
        <w:tabs>
          <w:tab w:val="left" w:pos="3990"/>
        </w:tabs>
        <w:spacing w:line="240" w:lineRule="auto"/>
        <w:jc w:val="both"/>
        <w:rPr>
          <w:rFonts w:ascii="Times New Roman" w:hAnsi="Times New Roman" w:cs="Times New Roman"/>
          <w:sz w:val="24"/>
          <w:szCs w:val="24"/>
        </w:rPr>
      </w:pPr>
    </w:p>
    <w:p w14:paraId="12A18DC6" w14:textId="389C20B8" w:rsidR="000C7119" w:rsidRDefault="001F0FB4" w:rsidP="001636BB">
      <w:pPr>
        <w:tabs>
          <w:tab w:val="left" w:pos="399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 observed in Table 1 and Fig. 5, total GHG emissions from vehicle fleet sector are 770.75 </w:t>
      </w:r>
      <w:r w:rsidR="00AF7F1E">
        <w:rPr>
          <w:rFonts w:ascii="Times New Roman" w:eastAsia="Times New Roman" w:hAnsi="Times New Roman" w:cs="Times New Roman"/>
          <w:sz w:val="24"/>
          <w:szCs w:val="24"/>
        </w:rPr>
        <w:t>MTCO</w:t>
      </w:r>
      <w:r w:rsidR="00AF7F1E" w:rsidRPr="00AF7F1E">
        <w:rPr>
          <w:rFonts w:ascii="Times New Roman" w:eastAsia="Times New Roman" w:hAnsi="Times New Roman" w:cs="Times New Roman"/>
          <w:sz w:val="24"/>
          <w:szCs w:val="24"/>
          <w:vertAlign w:val="subscript"/>
        </w:rPr>
        <w:t>2</w:t>
      </w:r>
      <w:r w:rsidR="00AF7F1E">
        <w:rPr>
          <w:rFonts w:ascii="Times New Roman" w:eastAsia="Times New Roman" w:hAnsi="Times New Roman" w:cs="Times New Roman"/>
          <w:sz w:val="24"/>
          <w:szCs w:val="24"/>
        </w:rPr>
        <w:t>e</w:t>
      </w:r>
      <w:r>
        <w:rPr>
          <w:rFonts w:ascii="Times New Roman" w:hAnsi="Times New Roman" w:cs="Times New Roman"/>
          <w:sz w:val="24"/>
          <w:szCs w:val="24"/>
        </w:rPr>
        <w:t xml:space="preserve"> and emissions from</w:t>
      </w:r>
      <w:r w:rsidR="00D76BEB">
        <w:rPr>
          <w:rFonts w:ascii="Times New Roman" w:hAnsi="Times New Roman" w:cs="Times New Roman"/>
          <w:sz w:val="24"/>
          <w:szCs w:val="24"/>
        </w:rPr>
        <w:t xml:space="preserve"> each fuel i.e., kerosene, gasoline, diesel are 69.75 </w:t>
      </w:r>
      <w:r w:rsidR="00AF7F1E">
        <w:rPr>
          <w:rFonts w:ascii="Times New Roman" w:eastAsia="Times New Roman" w:hAnsi="Times New Roman" w:cs="Times New Roman"/>
          <w:sz w:val="24"/>
          <w:szCs w:val="24"/>
        </w:rPr>
        <w:t>MTCO</w:t>
      </w:r>
      <w:r w:rsidR="00AF7F1E" w:rsidRPr="00AF7F1E">
        <w:rPr>
          <w:rFonts w:ascii="Times New Roman" w:eastAsia="Times New Roman" w:hAnsi="Times New Roman" w:cs="Times New Roman"/>
          <w:sz w:val="24"/>
          <w:szCs w:val="24"/>
          <w:vertAlign w:val="subscript"/>
        </w:rPr>
        <w:t>2</w:t>
      </w:r>
      <w:r w:rsidR="00AF7F1E">
        <w:rPr>
          <w:rFonts w:ascii="Times New Roman" w:eastAsia="Times New Roman" w:hAnsi="Times New Roman" w:cs="Times New Roman"/>
          <w:sz w:val="24"/>
          <w:szCs w:val="24"/>
        </w:rPr>
        <w:t>e</w:t>
      </w:r>
      <w:r w:rsidR="00D76BEB">
        <w:rPr>
          <w:rFonts w:ascii="Times New Roman" w:hAnsi="Times New Roman" w:cs="Times New Roman"/>
          <w:sz w:val="24"/>
          <w:szCs w:val="24"/>
        </w:rPr>
        <w:t xml:space="preserve">, 313 </w:t>
      </w:r>
      <w:r w:rsidR="00AF7F1E">
        <w:rPr>
          <w:rFonts w:ascii="Times New Roman" w:eastAsia="Times New Roman" w:hAnsi="Times New Roman" w:cs="Times New Roman"/>
          <w:sz w:val="24"/>
          <w:szCs w:val="24"/>
        </w:rPr>
        <w:t>MTCO</w:t>
      </w:r>
      <w:r w:rsidR="00AF7F1E" w:rsidRPr="00AF7F1E">
        <w:rPr>
          <w:rFonts w:ascii="Times New Roman" w:eastAsia="Times New Roman" w:hAnsi="Times New Roman" w:cs="Times New Roman"/>
          <w:sz w:val="24"/>
          <w:szCs w:val="24"/>
          <w:vertAlign w:val="subscript"/>
        </w:rPr>
        <w:t>2</w:t>
      </w:r>
      <w:r w:rsidR="00AF7F1E">
        <w:rPr>
          <w:rFonts w:ascii="Times New Roman" w:eastAsia="Times New Roman" w:hAnsi="Times New Roman" w:cs="Times New Roman"/>
          <w:sz w:val="24"/>
          <w:szCs w:val="24"/>
        </w:rPr>
        <w:t>e</w:t>
      </w:r>
      <w:r w:rsidR="00D76BEB">
        <w:rPr>
          <w:rFonts w:ascii="Times New Roman" w:hAnsi="Times New Roman" w:cs="Times New Roman"/>
          <w:sz w:val="24"/>
          <w:szCs w:val="24"/>
        </w:rPr>
        <w:t xml:space="preserve">, 388 </w:t>
      </w:r>
      <w:r w:rsidR="00AF7F1E">
        <w:rPr>
          <w:rFonts w:ascii="Times New Roman" w:eastAsia="Times New Roman" w:hAnsi="Times New Roman" w:cs="Times New Roman"/>
          <w:sz w:val="24"/>
          <w:szCs w:val="24"/>
        </w:rPr>
        <w:t>MTCO</w:t>
      </w:r>
      <w:r w:rsidR="00AF7F1E" w:rsidRPr="00AF7F1E">
        <w:rPr>
          <w:rFonts w:ascii="Times New Roman" w:eastAsia="Times New Roman" w:hAnsi="Times New Roman" w:cs="Times New Roman"/>
          <w:sz w:val="24"/>
          <w:szCs w:val="24"/>
          <w:vertAlign w:val="subscript"/>
        </w:rPr>
        <w:t>2</w:t>
      </w:r>
      <w:r w:rsidR="00AF7F1E">
        <w:rPr>
          <w:rFonts w:ascii="Times New Roman" w:eastAsia="Times New Roman" w:hAnsi="Times New Roman" w:cs="Times New Roman"/>
          <w:sz w:val="24"/>
          <w:szCs w:val="24"/>
        </w:rPr>
        <w:t>e</w:t>
      </w:r>
      <w:r w:rsidR="00D76BEB">
        <w:rPr>
          <w:rFonts w:ascii="Times New Roman" w:hAnsi="Times New Roman" w:cs="Times New Roman"/>
          <w:sz w:val="24"/>
          <w:szCs w:val="24"/>
        </w:rPr>
        <w:t xml:space="preserve">, respectively. The interesting aspect to notice is that emissions from diesel </w:t>
      </w:r>
      <w:r w:rsidR="00D76BEB" w:rsidRPr="0076173C">
        <w:rPr>
          <w:rFonts w:ascii="Times New Roman" w:hAnsi="Times New Roman" w:cs="Times New Roman"/>
          <w:sz w:val="24"/>
          <w:szCs w:val="24"/>
        </w:rPr>
        <w:t>are 50% of the total emissions in vehicle fleet sector.</w:t>
      </w:r>
    </w:p>
    <w:p w14:paraId="4C10504F" w14:textId="77777777" w:rsidR="007B754B" w:rsidRDefault="007B754B" w:rsidP="001636BB">
      <w:pPr>
        <w:tabs>
          <w:tab w:val="left" w:pos="3990"/>
        </w:tabs>
        <w:spacing w:line="240" w:lineRule="auto"/>
        <w:jc w:val="both"/>
        <w:rPr>
          <w:rFonts w:ascii="Times New Roman" w:hAnsi="Times New Roman" w:cs="Times New Roman"/>
          <w:sz w:val="24"/>
          <w:szCs w:val="24"/>
        </w:rPr>
      </w:pPr>
    </w:p>
    <w:p w14:paraId="5BA75B0E" w14:textId="2A967F99" w:rsidR="009C4DC7" w:rsidRPr="000C7119" w:rsidRDefault="009A6489" w:rsidP="000C7119">
      <w:pPr>
        <w:pStyle w:val="Heading2"/>
        <w:spacing w:line="240" w:lineRule="auto"/>
        <w:rPr>
          <w:rFonts w:ascii="Times New Roman" w:hAnsi="Times New Roman" w:cs="Times New Roman"/>
          <w:b/>
          <w:bCs/>
          <w:color w:val="385623" w:themeColor="accent6" w:themeShade="80"/>
        </w:rPr>
      </w:pPr>
      <w:bookmarkStart w:id="9" w:name="_Toc71547927"/>
      <w:r w:rsidRPr="00903D90">
        <w:rPr>
          <w:rFonts w:ascii="Times New Roman" w:hAnsi="Times New Roman" w:cs="Times New Roman"/>
          <w:b/>
          <w:bCs/>
          <w:color w:val="385623" w:themeColor="accent6" w:themeShade="80"/>
        </w:rPr>
        <w:t>Streetlight</w:t>
      </w:r>
      <w:r w:rsidR="0060332B" w:rsidRPr="00903D90">
        <w:rPr>
          <w:rFonts w:ascii="Times New Roman" w:hAnsi="Times New Roman" w:cs="Times New Roman"/>
          <w:b/>
          <w:bCs/>
          <w:color w:val="385623" w:themeColor="accent6" w:themeShade="80"/>
        </w:rPr>
        <w:t>s</w:t>
      </w:r>
      <w:bookmarkEnd w:id="9"/>
    </w:p>
    <w:p w14:paraId="5B9E1A3F" w14:textId="77777777" w:rsidR="006160FD" w:rsidRDefault="006160FD" w:rsidP="006160FD">
      <w:pPr>
        <w:spacing w:after="0" w:line="240" w:lineRule="auto"/>
        <w:jc w:val="both"/>
        <w:rPr>
          <w:rFonts w:ascii="Times New Roman" w:eastAsia="Times New Roman" w:hAnsi="Times New Roman" w:cs="Times New Roman"/>
          <w:color w:val="000000"/>
          <w:sz w:val="24"/>
          <w:szCs w:val="24"/>
        </w:rPr>
      </w:pPr>
      <w:r w:rsidRPr="009A6489">
        <w:rPr>
          <w:rFonts w:ascii="Times New Roman" w:eastAsia="Times New Roman" w:hAnsi="Times New Roman" w:cs="Times New Roman"/>
          <w:color w:val="000000"/>
          <w:sz w:val="24"/>
          <w:szCs w:val="24"/>
        </w:rPr>
        <w:t>To have calculated the total emissions from all the streetlights, we had to look at each month separately. Every streetlight</w:t>
      </w:r>
      <w:r>
        <w:rPr>
          <w:rFonts w:ascii="Times New Roman" w:eastAsia="Times New Roman" w:hAnsi="Times New Roman" w:cs="Times New Roman"/>
          <w:color w:val="000000"/>
          <w:sz w:val="24"/>
          <w:szCs w:val="24"/>
        </w:rPr>
        <w:t xml:space="preserve"> account</w:t>
      </w:r>
      <w:r w:rsidRPr="009A6489">
        <w:rPr>
          <w:rFonts w:ascii="Times New Roman" w:eastAsia="Times New Roman" w:hAnsi="Times New Roman" w:cs="Times New Roman"/>
          <w:color w:val="000000"/>
          <w:sz w:val="24"/>
          <w:szCs w:val="24"/>
        </w:rPr>
        <w:t xml:space="preserve"> had their total consumption of kWh for each month, so a summation of each month’s total kWh was taken. It was found that the total annual consumption of </w:t>
      </w:r>
      <w:r>
        <w:rPr>
          <w:rFonts w:ascii="Times New Roman" w:eastAsia="Times New Roman" w:hAnsi="Times New Roman" w:cs="Times New Roman"/>
          <w:color w:val="000000"/>
          <w:sz w:val="24"/>
          <w:szCs w:val="24"/>
        </w:rPr>
        <w:t>electricity for streetlight accounts in</w:t>
      </w:r>
      <w:r w:rsidRPr="009A6489">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rPr>
        <w:t>was</w:t>
      </w:r>
      <w:r w:rsidRPr="009A6489">
        <w:rPr>
          <w:rFonts w:ascii="Times New Roman" w:eastAsia="Times New Roman" w:hAnsi="Times New Roman" w:cs="Times New Roman"/>
          <w:color w:val="000000"/>
          <w:sz w:val="24"/>
          <w:szCs w:val="24"/>
        </w:rPr>
        <w:t xml:space="preserve"> 160,390 kWh. </w:t>
      </w:r>
      <w:r>
        <w:rPr>
          <w:rFonts w:ascii="Times New Roman" w:eastAsia="Times New Roman" w:hAnsi="Times New Roman" w:cs="Times New Roman"/>
          <w:color w:val="000000"/>
          <w:sz w:val="24"/>
          <w:szCs w:val="24"/>
        </w:rPr>
        <w:t>T</w:t>
      </w:r>
      <w:r w:rsidRPr="009A6489">
        <w:rPr>
          <w:rFonts w:ascii="Times New Roman" w:eastAsia="Times New Roman" w:hAnsi="Times New Roman" w:cs="Times New Roman"/>
          <w:color w:val="000000"/>
          <w:sz w:val="24"/>
          <w:szCs w:val="24"/>
        </w:rPr>
        <w:t>he months of January, February, and March had the highest consumption of energy</w:t>
      </w:r>
      <w:r>
        <w:rPr>
          <w:rFonts w:ascii="Times New Roman" w:eastAsia="Times New Roman" w:hAnsi="Times New Roman" w:cs="Times New Roman"/>
          <w:color w:val="000000"/>
          <w:sz w:val="24"/>
          <w:szCs w:val="24"/>
        </w:rPr>
        <w:t>, as the sun sets earlier in winter months and streetlights therefore run longer</w:t>
      </w:r>
      <w:r w:rsidRPr="009A6489">
        <w:rPr>
          <w:rFonts w:ascii="Times New Roman" w:eastAsia="Times New Roman" w:hAnsi="Times New Roman" w:cs="Times New Roman"/>
          <w:color w:val="000000"/>
          <w:sz w:val="24"/>
          <w:szCs w:val="24"/>
        </w:rPr>
        <w:t xml:space="preserve">. </w:t>
      </w:r>
    </w:p>
    <w:p w14:paraId="5B61C305" w14:textId="77777777" w:rsidR="006160FD" w:rsidRDefault="006160FD" w:rsidP="006160FD">
      <w:pPr>
        <w:spacing w:after="0" w:line="240" w:lineRule="auto"/>
        <w:jc w:val="both"/>
        <w:rPr>
          <w:rFonts w:ascii="Times New Roman" w:eastAsia="Times New Roman" w:hAnsi="Times New Roman" w:cs="Times New Roman"/>
          <w:color w:val="000000"/>
          <w:sz w:val="24"/>
          <w:szCs w:val="24"/>
        </w:rPr>
      </w:pPr>
    </w:p>
    <w:p w14:paraId="50837261" w14:textId="0B7B90A2" w:rsidR="006160FD" w:rsidRDefault="006160FD" w:rsidP="006160FD">
      <w:pPr>
        <w:spacing w:after="0" w:line="240" w:lineRule="auto"/>
        <w:jc w:val="both"/>
        <w:rPr>
          <w:rFonts w:ascii="Times New Roman" w:eastAsia="Times New Roman" w:hAnsi="Times New Roman" w:cs="Times New Roman"/>
          <w:color w:val="000000"/>
          <w:sz w:val="24"/>
          <w:szCs w:val="24"/>
        </w:rPr>
      </w:pPr>
      <w:r w:rsidRPr="009A6489">
        <w:rPr>
          <w:rFonts w:ascii="Times New Roman" w:eastAsia="Times New Roman" w:hAnsi="Times New Roman" w:cs="Times New Roman"/>
          <w:color w:val="000000"/>
          <w:sz w:val="24"/>
          <w:szCs w:val="24"/>
        </w:rPr>
        <w:t xml:space="preserve">The annual kWh consumption </w:t>
      </w:r>
      <w:r>
        <w:rPr>
          <w:rFonts w:ascii="Times New Roman" w:eastAsia="Times New Roman" w:hAnsi="Times New Roman" w:cs="Times New Roman"/>
          <w:color w:val="000000"/>
          <w:sz w:val="24"/>
          <w:szCs w:val="24"/>
        </w:rPr>
        <w:t xml:space="preserve">was </w:t>
      </w:r>
      <w:r w:rsidRPr="009A6489">
        <w:rPr>
          <w:rFonts w:ascii="Times New Roman" w:eastAsia="Times New Roman" w:hAnsi="Times New Roman" w:cs="Times New Roman"/>
          <w:color w:val="000000"/>
          <w:sz w:val="24"/>
          <w:szCs w:val="24"/>
        </w:rPr>
        <w:t xml:space="preserve">then entered into the EPA Calculator </w:t>
      </w:r>
      <w:r>
        <w:rPr>
          <w:rFonts w:ascii="Times New Roman" w:eastAsia="Times New Roman" w:hAnsi="Times New Roman" w:cs="Times New Roman"/>
          <w:color w:val="000000"/>
          <w:sz w:val="24"/>
          <w:szCs w:val="24"/>
        </w:rPr>
        <w:t>with</w:t>
      </w:r>
      <w:r w:rsidRPr="009A6489">
        <w:rPr>
          <w:rFonts w:ascii="Times New Roman" w:eastAsia="Times New Roman" w:hAnsi="Times New Roman" w:cs="Times New Roman"/>
          <w:color w:val="000000"/>
          <w:sz w:val="24"/>
          <w:szCs w:val="24"/>
        </w:rPr>
        <w:t xml:space="preserve"> total emissions for the Town of Manlius </w:t>
      </w:r>
      <w:r>
        <w:rPr>
          <w:rFonts w:ascii="Times New Roman" w:eastAsia="Times New Roman" w:hAnsi="Times New Roman" w:cs="Times New Roman"/>
          <w:color w:val="000000"/>
          <w:sz w:val="24"/>
          <w:szCs w:val="24"/>
        </w:rPr>
        <w:t xml:space="preserve">streetlight accounts in </w:t>
      </w:r>
      <w:r w:rsidRPr="009A6489">
        <w:rPr>
          <w:rFonts w:ascii="Times New Roman" w:eastAsia="Times New Roman" w:hAnsi="Times New Roman" w:cs="Times New Roman"/>
          <w:color w:val="000000"/>
          <w:sz w:val="24"/>
          <w:szCs w:val="24"/>
        </w:rPr>
        <w:t xml:space="preserve">2019 </w:t>
      </w:r>
      <w:r>
        <w:rPr>
          <w:rFonts w:ascii="Times New Roman" w:eastAsia="Times New Roman" w:hAnsi="Times New Roman" w:cs="Times New Roman"/>
          <w:color w:val="000000"/>
          <w:sz w:val="24"/>
          <w:szCs w:val="24"/>
        </w:rPr>
        <w:t>at</w:t>
      </w:r>
      <w:r w:rsidRPr="009A6489">
        <w:rPr>
          <w:rFonts w:ascii="Times New Roman" w:eastAsia="Times New Roman" w:hAnsi="Times New Roman" w:cs="Times New Roman"/>
          <w:color w:val="000000"/>
          <w:sz w:val="24"/>
          <w:szCs w:val="24"/>
        </w:rPr>
        <w:t xml:space="preserve"> 18.49 </w:t>
      </w:r>
      <w:r w:rsidR="00AF7F1E">
        <w:rPr>
          <w:rFonts w:ascii="Times New Roman" w:eastAsia="Times New Roman" w:hAnsi="Times New Roman" w:cs="Times New Roman"/>
          <w:sz w:val="24"/>
          <w:szCs w:val="24"/>
        </w:rPr>
        <w:t>MTCO</w:t>
      </w:r>
      <w:r w:rsidR="00AF7F1E" w:rsidRPr="00AF7F1E">
        <w:rPr>
          <w:rFonts w:ascii="Times New Roman" w:eastAsia="Times New Roman" w:hAnsi="Times New Roman" w:cs="Times New Roman"/>
          <w:sz w:val="24"/>
          <w:szCs w:val="24"/>
          <w:vertAlign w:val="subscript"/>
        </w:rPr>
        <w:t>2</w:t>
      </w:r>
      <w:r w:rsidR="00AF7F1E">
        <w:rPr>
          <w:rFonts w:ascii="Times New Roman" w:eastAsia="Times New Roman" w:hAnsi="Times New Roman" w:cs="Times New Roman"/>
          <w:sz w:val="24"/>
          <w:szCs w:val="24"/>
        </w:rPr>
        <w:t>e</w:t>
      </w:r>
      <w:r w:rsidRPr="009A64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Town has already converted all cobra head streetlights to LEDs and is in the process of considering conversion of decorative streetlights to LEDs</w:t>
      </w:r>
      <w:r w:rsidRPr="009A6489">
        <w:rPr>
          <w:rFonts w:ascii="Times New Roman" w:eastAsia="Times New Roman" w:hAnsi="Times New Roman" w:cs="Times New Roman"/>
          <w:color w:val="000000"/>
          <w:sz w:val="24"/>
          <w:szCs w:val="24"/>
        </w:rPr>
        <w:t>. Another recommendation would be to add solar charged light bulbs for the streetlights. Eventually if all streetlights had this appliance, it would eliminate the town’s dependency on electrical units to power the streetlights constantly; the power grid could be used as a backup power source in the case of reduced sunlight exposure. In turn, GHG emissions would practically be eliminated unless the case of using the electrical grid.</w:t>
      </w:r>
    </w:p>
    <w:p w14:paraId="41194870" w14:textId="1A042213" w:rsidR="009C4DC7" w:rsidRDefault="009C4DC7" w:rsidP="001636BB">
      <w:pPr>
        <w:spacing w:after="0" w:line="240" w:lineRule="auto"/>
        <w:jc w:val="both"/>
        <w:rPr>
          <w:rFonts w:ascii="Times New Roman" w:eastAsia="Times New Roman" w:hAnsi="Times New Roman" w:cs="Times New Roman"/>
          <w:color w:val="000000"/>
          <w:sz w:val="24"/>
          <w:szCs w:val="24"/>
        </w:rPr>
      </w:pPr>
    </w:p>
    <w:p w14:paraId="49AAECD3" w14:textId="200D76F8" w:rsidR="00D44F47" w:rsidRDefault="00D44F47" w:rsidP="001636BB">
      <w:pPr>
        <w:spacing w:after="0" w:line="240" w:lineRule="auto"/>
        <w:rPr>
          <w:rFonts w:ascii="Times New Roman" w:eastAsia="Times New Roman" w:hAnsi="Times New Roman" w:cs="Times New Roman"/>
          <w:color w:val="000000"/>
          <w:sz w:val="24"/>
          <w:szCs w:val="24"/>
        </w:rPr>
      </w:pPr>
    </w:p>
    <w:p w14:paraId="2F69D8BD" w14:textId="0AACA6E7" w:rsidR="00D44F47" w:rsidRDefault="00D44F47" w:rsidP="001636BB">
      <w:pPr>
        <w:spacing w:after="0" w:line="240" w:lineRule="auto"/>
        <w:rPr>
          <w:rFonts w:ascii="Times New Roman" w:eastAsia="Times New Roman" w:hAnsi="Times New Roman" w:cs="Times New Roman"/>
          <w:color w:val="000000"/>
          <w:sz w:val="24"/>
          <w:szCs w:val="24"/>
        </w:rPr>
      </w:pPr>
    </w:p>
    <w:p w14:paraId="1C8B9009" w14:textId="459E79DB" w:rsidR="00D44F47" w:rsidRDefault="00D44F47" w:rsidP="001636BB">
      <w:pPr>
        <w:spacing w:after="0" w:line="240" w:lineRule="auto"/>
        <w:rPr>
          <w:rFonts w:ascii="Times New Roman" w:eastAsia="Times New Roman" w:hAnsi="Times New Roman" w:cs="Times New Roman"/>
          <w:color w:val="000000"/>
          <w:sz w:val="24"/>
          <w:szCs w:val="24"/>
        </w:rPr>
      </w:pPr>
    </w:p>
    <w:p w14:paraId="6B1A7896" w14:textId="36E2F3B8" w:rsidR="00D44F47" w:rsidRDefault="00B62EC8" w:rsidP="001636BB">
      <w:pPr>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8247" behindDoc="1" locked="0" layoutInCell="1" allowOverlap="1" wp14:anchorId="39DD51E1" wp14:editId="3BAC9BA2">
            <wp:simplePos x="0" y="0"/>
            <wp:positionH relativeFrom="margin">
              <wp:align>center</wp:align>
            </wp:positionH>
            <wp:positionV relativeFrom="paragraph">
              <wp:posOffset>2540</wp:posOffset>
            </wp:positionV>
            <wp:extent cx="4572000" cy="2752725"/>
            <wp:effectExtent l="0" t="0" r="0"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752725"/>
                    </a:xfrm>
                    <a:prstGeom prst="rect">
                      <a:avLst/>
                    </a:prstGeom>
                    <a:noFill/>
                    <a:ln>
                      <a:noFill/>
                    </a:ln>
                  </pic:spPr>
                </pic:pic>
              </a:graphicData>
            </a:graphic>
          </wp:anchor>
        </w:drawing>
      </w:r>
    </w:p>
    <w:p w14:paraId="63C69C95" w14:textId="134DD8D3" w:rsidR="00D44F47" w:rsidRDefault="00D44F47" w:rsidP="001636BB">
      <w:pPr>
        <w:spacing w:after="0" w:line="240" w:lineRule="auto"/>
        <w:rPr>
          <w:rFonts w:ascii="Times New Roman" w:eastAsia="Times New Roman" w:hAnsi="Times New Roman" w:cs="Times New Roman"/>
          <w:color w:val="000000"/>
          <w:sz w:val="24"/>
          <w:szCs w:val="24"/>
        </w:rPr>
      </w:pPr>
    </w:p>
    <w:p w14:paraId="5CFD5DF6" w14:textId="562ECF9F" w:rsidR="00D44F47" w:rsidRDefault="00D44F47" w:rsidP="001636BB">
      <w:pPr>
        <w:spacing w:after="0" w:line="240" w:lineRule="auto"/>
        <w:rPr>
          <w:rFonts w:ascii="Times New Roman" w:eastAsia="Times New Roman" w:hAnsi="Times New Roman" w:cs="Times New Roman"/>
          <w:color w:val="000000"/>
          <w:sz w:val="24"/>
          <w:szCs w:val="24"/>
        </w:rPr>
      </w:pPr>
    </w:p>
    <w:p w14:paraId="378F5D17" w14:textId="0B437B6E" w:rsidR="001636BB" w:rsidRDefault="001636BB" w:rsidP="001636BB">
      <w:pPr>
        <w:pStyle w:val="Heading2"/>
        <w:spacing w:line="240" w:lineRule="auto"/>
        <w:rPr>
          <w:rFonts w:ascii="Times New Roman" w:eastAsia="Times New Roman" w:hAnsi="Times New Roman" w:cs="Times New Roman"/>
          <w:b/>
          <w:bCs/>
          <w:color w:val="385623" w:themeColor="accent6" w:themeShade="80"/>
        </w:rPr>
      </w:pPr>
      <w:bookmarkStart w:id="10" w:name="_Toc71547928"/>
    </w:p>
    <w:p w14:paraId="36A623A5" w14:textId="77777777" w:rsidR="001636BB" w:rsidRDefault="001636BB" w:rsidP="001636BB">
      <w:pPr>
        <w:pStyle w:val="Heading2"/>
        <w:spacing w:line="240" w:lineRule="auto"/>
        <w:rPr>
          <w:rFonts w:ascii="Times New Roman" w:eastAsia="Times New Roman" w:hAnsi="Times New Roman" w:cs="Times New Roman"/>
          <w:b/>
          <w:bCs/>
          <w:color w:val="385623" w:themeColor="accent6" w:themeShade="80"/>
        </w:rPr>
      </w:pPr>
    </w:p>
    <w:p w14:paraId="3919AA42" w14:textId="77777777" w:rsidR="001636BB" w:rsidRDefault="001636BB" w:rsidP="001636BB">
      <w:pPr>
        <w:pStyle w:val="Heading2"/>
        <w:spacing w:line="240" w:lineRule="auto"/>
        <w:rPr>
          <w:rFonts w:ascii="Times New Roman" w:eastAsia="Times New Roman" w:hAnsi="Times New Roman" w:cs="Times New Roman"/>
          <w:b/>
          <w:bCs/>
          <w:color w:val="385623" w:themeColor="accent6" w:themeShade="80"/>
        </w:rPr>
      </w:pPr>
    </w:p>
    <w:p w14:paraId="71B1F4BF" w14:textId="77777777" w:rsidR="001636BB" w:rsidRDefault="001636BB" w:rsidP="001636BB">
      <w:pPr>
        <w:pStyle w:val="Heading2"/>
        <w:spacing w:line="240" w:lineRule="auto"/>
        <w:rPr>
          <w:rFonts w:ascii="Times New Roman" w:eastAsia="Times New Roman" w:hAnsi="Times New Roman" w:cs="Times New Roman"/>
          <w:b/>
          <w:bCs/>
          <w:color w:val="385623" w:themeColor="accent6" w:themeShade="80"/>
        </w:rPr>
      </w:pPr>
    </w:p>
    <w:p w14:paraId="59AA3EBD" w14:textId="77777777" w:rsidR="001636BB" w:rsidRDefault="001636BB" w:rsidP="001636BB">
      <w:pPr>
        <w:pStyle w:val="Heading2"/>
        <w:spacing w:line="240" w:lineRule="auto"/>
        <w:rPr>
          <w:rFonts w:ascii="Times New Roman" w:eastAsia="Times New Roman" w:hAnsi="Times New Roman" w:cs="Times New Roman"/>
          <w:b/>
          <w:bCs/>
          <w:color w:val="385623" w:themeColor="accent6" w:themeShade="80"/>
        </w:rPr>
      </w:pPr>
    </w:p>
    <w:p w14:paraId="6EE54078" w14:textId="77777777" w:rsidR="001636BB" w:rsidRDefault="001636BB" w:rsidP="001636BB">
      <w:pPr>
        <w:pStyle w:val="Heading2"/>
        <w:spacing w:line="240" w:lineRule="auto"/>
        <w:rPr>
          <w:rFonts w:ascii="Times New Roman" w:eastAsia="Times New Roman" w:hAnsi="Times New Roman" w:cs="Times New Roman"/>
          <w:b/>
          <w:bCs/>
          <w:color w:val="385623" w:themeColor="accent6" w:themeShade="80"/>
        </w:rPr>
      </w:pPr>
    </w:p>
    <w:p w14:paraId="208C1741" w14:textId="77777777" w:rsidR="001636BB" w:rsidRDefault="001636BB" w:rsidP="001636BB">
      <w:pPr>
        <w:pStyle w:val="Heading2"/>
        <w:spacing w:line="240" w:lineRule="auto"/>
        <w:rPr>
          <w:rFonts w:ascii="Times New Roman" w:eastAsia="Times New Roman" w:hAnsi="Times New Roman" w:cs="Times New Roman"/>
          <w:b/>
          <w:bCs/>
          <w:color w:val="385623" w:themeColor="accent6" w:themeShade="80"/>
        </w:rPr>
      </w:pPr>
    </w:p>
    <w:p w14:paraId="6FB36973" w14:textId="77777777" w:rsidR="001636BB" w:rsidRDefault="001636BB" w:rsidP="001636BB">
      <w:pPr>
        <w:pStyle w:val="Heading2"/>
        <w:spacing w:line="240" w:lineRule="auto"/>
        <w:rPr>
          <w:rFonts w:ascii="Times New Roman" w:eastAsia="Times New Roman" w:hAnsi="Times New Roman" w:cs="Times New Roman"/>
          <w:b/>
          <w:bCs/>
          <w:color w:val="385623" w:themeColor="accent6" w:themeShade="80"/>
        </w:rPr>
      </w:pPr>
    </w:p>
    <w:p w14:paraId="327ED9DF" w14:textId="77777777" w:rsidR="001636BB" w:rsidRDefault="001636BB" w:rsidP="001636BB">
      <w:pPr>
        <w:spacing w:after="0" w:line="240" w:lineRule="auto"/>
        <w:jc w:val="center"/>
        <w:rPr>
          <w:rFonts w:ascii="Times New Roman" w:eastAsia="Times New Roman" w:hAnsi="Times New Roman" w:cs="Times New Roman"/>
          <w:color w:val="000000"/>
          <w:sz w:val="24"/>
          <w:szCs w:val="24"/>
        </w:rPr>
      </w:pPr>
    </w:p>
    <w:p w14:paraId="3AB3AC48" w14:textId="77777777" w:rsidR="007C0237" w:rsidRDefault="007C0237" w:rsidP="001636BB">
      <w:pPr>
        <w:spacing w:after="0" w:line="240" w:lineRule="auto"/>
        <w:jc w:val="center"/>
        <w:rPr>
          <w:rFonts w:ascii="Times New Roman" w:eastAsia="Times New Roman" w:hAnsi="Times New Roman" w:cs="Times New Roman"/>
          <w:color w:val="000000"/>
          <w:sz w:val="24"/>
          <w:szCs w:val="24"/>
        </w:rPr>
      </w:pPr>
    </w:p>
    <w:p w14:paraId="20430DC2" w14:textId="77777777" w:rsidR="007C0237" w:rsidRDefault="007C0237" w:rsidP="00B62EC8">
      <w:pPr>
        <w:spacing w:after="0" w:line="240" w:lineRule="auto"/>
        <w:rPr>
          <w:rFonts w:ascii="Times New Roman" w:eastAsia="Times New Roman" w:hAnsi="Times New Roman" w:cs="Times New Roman"/>
          <w:color w:val="000000"/>
          <w:sz w:val="24"/>
          <w:szCs w:val="24"/>
        </w:rPr>
      </w:pPr>
    </w:p>
    <w:p w14:paraId="377DA9EC" w14:textId="77777777" w:rsidR="007C0237" w:rsidRDefault="007C0237" w:rsidP="001636BB">
      <w:pPr>
        <w:spacing w:after="0" w:line="240" w:lineRule="auto"/>
        <w:jc w:val="center"/>
        <w:rPr>
          <w:rFonts w:ascii="Times New Roman" w:eastAsia="Times New Roman" w:hAnsi="Times New Roman" w:cs="Times New Roman"/>
          <w:color w:val="000000"/>
          <w:sz w:val="24"/>
          <w:szCs w:val="24"/>
        </w:rPr>
      </w:pPr>
    </w:p>
    <w:p w14:paraId="5C9CDEAD" w14:textId="213B26FF" w:rsidR="000C7119" w:rsidRPr="00317336" w:rsidRDefault="001636BB" w:rsidP="003173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 6. Streetlights Emissions</w:t>
      </w:r>
    </w:p>
    <w:p w14:paraId="6E0DFC4C" w14:textId="5AC898DB" w:rsidR="004E0081" w:rsidRDefault="004E0081" w:rsidP="001636BB">
      <w:pPr>
        <w:pStyle w:val="Heading2"/>
        <w:spacing w:line="240" w:lineRule="auto"/>
        <w:rPr>
          <w:rFonts w:ascii="Times New Roman" w:eastAsia="Times New Roman" w:hAnsi="Times New Roman" w:cs="Times New Roman"/>
          <w:b/>
          <w:bCs/>
          <w:color w:val="385623" w:themeColor="accent6" w:themeShade="80"/>
        </w:rPr>
      </w:pPr>
      <w:r w:rsidRPr="00903D90">
        <w:rPr>
          <w:rFonts w:ascii="Times New Roman" w:eastAsia="Times New Roman" w:hAnsi="Times New Roman" w:cs="Times New Roman"/>
          <w:b/>
          <w:bCs/>
          <w:color w:val="385623" w:themeColor="accent6" w:themeShade="80"/>
        </w:rPr>
        <w:t>Buildings &amp; Facilities</w:t>
      </w:r>
      <w:bookmarkEnd w:id="10"/>
      <w:r w:rsidRPr="00903D90">
        <w:rPr>
          <w:rFonts w:ascii="Times New Roman" w:eastAsia="Times New Roman" w:hAnsi="Times New Roman" w:cs="Times New Roman"/>
          <w:b/>
          <w:bCs/>
          <w:color w:val="385623" w:themeColor="accent6" w:themeShade="80"/>
        </w:rPr>
        <w:t xml:space="preserve"> </w:t>
      </w:r>
    </w:p>
    <w:p w14:paraId="1ED7D65D" w14:textId="6E400341" w:rsidR="004E0081" w:rsidRDefault="0054702E" w:rsidP="009C4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Emissions from buildings and facilities in Manlius come from stationary combustion</w:t>
      </w:r>
      <w:r w:rsidR="002452F0">
        <w:rPr>
          <w:rFonts w:ascii="Times New Roman" w:eastAsia="Times New Roman" w:hAnsi="Times New Roman" w:cs="Times New Roman"/>
          <w:sz w:val="24"/>
          <w:szCs w:val="24"/>
        </w:rPr>
        <w:t xml:space="preserve"> (heating acquired from natural gas) and electricity use. </w:t>
      </w:r>
      <w:r w:rsidR="00543287">
        <w:rPr>
          <w:rFonts w:ascii="Times New Roman" w:eastAsia="Times New Roman" w:hAnsi="Times New Roman" w:cs="Times New Roman"/>
          <w:sz w:val="24"/>
          <w:szCs w:val="24"/>
        </w:rPr>
        <w:t>Emissions were calculated using the EPA</w:t>
      </w:r>
      <w:r w:rsidR="00230BC9">
        <w:rPr>
          <w:rFonts w:ascii="Times New Roman" w:eastAsia="Times New Roman" w:hAnsi="Times New Roman" w:cs="Times New Roman"/>
          <w:sz w:val="24"/>
          <w:szCs w:val="24"/>
        </w:rPr>
        <w:t xml:space="preserve"> tool, and with National Grid bills provided by the Town of Manlius</w:t>
      </w:r>
      <w:r w:rsidR="00150B05">
        <w:rPr>
          <w:rFonts w:ascii="Times New Roman" w:eastAsia="Times New Roman" w:hAnsi="Times New Roman" w:cs="Times New Roman"/>
          <w:sz w:val="24"/>
          <w:szCs w:val="24"/>
        </w:rPr>
        <w:t xml:space="preserve">. </w:t>
      </w:r>
      <w:r w:rsidR="002452F0">
        <w:rPr>
          <w:rFonts w:ascii="Times New Roman" w:eastAsia="Times New Roman" w:hAnsi="Times New Roman" w:cs="Times New Roman"/>
          <w:sz w:val="24"/>
          <w:szCs w:val="24"/>
        </w:rPr>
        <w:t xml:space="preserve">The total emissions from each </w:t>
      </w:r>
      <w:r w:rsidR="003B1A92">
        <w:rPr>
          <w:rFonts w:ascii="Times New Roman" w:eastAsia="Times New Roman" w:hAnsi="Times New Roman" w:cs="Times New Roman"/>
          <w:sz w:val="24"/>
          <w:szCs w:val="24"/>
        </w:rPr>
        <w:t xml:space="preserve">area of emissions are outlined in the figure below. </w:t>
      </w:r>
    </w:p>
    <w:p w14:paraId="1EAC87AC" w14:textId="65B9C0A3" w:rsidR="003B1A92" w:rsidRPr="009A6489" w:rsidRDefault="003B1A92" w:rsidP="001636BB">
      <w:pPr>
        <w:spacing w:after="0" w:line="240" w:lineRule="auto"/>
        <w:jc w:val="center"/>
        <w:rPr>
          <w:rFonts w:ascii="Times New Roman" w:eastAsia="Times New Roman" w:hAnsi="Times New Roman" w:cs="Times New Roman"/>
          <w:sz w:val="24"/>
          <w:szCs w:val="24"/>
        </w:rPr>
      </w:pPr>
    </w:p>
    <w:p w14:paraId="181A491E" w14:textId="2220142B" w:rsidR="009C4DC7" w:rsidRDefault="007846F0" w:rsidP="001636BB">
      <w:pPr>
        <w:tabs>
          <w:tab w:val="left" w:pos="3990"/>
        </w:tabs>
        <w:spacing w:line="240" w:lineRule="auto"/>
        <w:jc w:val="both"/>
        <w:rPr>
          <w:rFonts w:ascii="Times New Roman" w:hAnsi="Times New Roman" w:cs="Times New Roman"/>
          <w:b/>
          <w:bCs/>
          <w:color w:val="385623" w:themeColor="accent6" w:themeShade="80"/>
          <w:sz w:val="30"/>
          <w:szCs w:val="30"/>
        </w:rPr>
      </w:pPr>
      <w:r>
        <w:rPr>
          <w:noProof/>
        </w:rPr>
        <w:drawing>
          <wp:anchor distT="0" distB="0" distL="114300" distR="114300" simplePos="0" relativeHeight="251662344" behindDoc="0" locked="0" layoutInCell="1" allowOverlap="1" wp14:anchorId="06F30283" wp14:editId="3FC91B0B">
            <wp:simplePos x="0" y="0"/>
            <wp:positionH relativeFrom="margin">
              <wp:align>center</wp:align>
            </wp:positionH>
            <wp:positionV relativeFrom="paragraph">
              <wp:posOffset>8890</wp:posOffset>
            </wp:positionV>
            <wp:extent cx="5191125" cy="3319463"/>
            <wp:effectExtent l="0" t="0" r="9525" b="14605"/>
            <wp:wrapSquare wrapText="bothSides"/>
            <wp:docPr id="6" name="Chart 6">
              <a:extLst xmlns:a="http://schemas.openxmlformats.org/drawingml/2006/main">
                <a:ext uri="{FF2B5EF4-FFF2-40B4-BE49-F238E27FC236}">
                  <a16:creationId xmlns:a16="http://schemas.microsoft.com/office/drawing/2014/main" id="{2AB96FF9-9415-4B16-A42E-24E2C36477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670240">
        <w:rPr>
          <w:rStyle w:val="eop"/>
          <w:color w:val="385623"/>
          <w:sz w:val="30"/>
          <w:szCs w:val="30"/>
          <w:shd w:val="clear" w:color="auto" w:fill="FFFFFF"/>
        </w:rPr>
        <w:t> </w:t>
      </w:r>
    </w:p>
    <w:p w14:paraId="4C680BDA" w14:textId="77777777" w:rsidR="009C4DC7" w:rsidRPr="003B0EFA" w:rsidRDefault="009C4DC7" w:rsidP="001636BB">
      <w:pPr>
        <w:tabs>
          <w:tab w:val="left" w:pos="3990"/>
        </w:tabs>
        <w:spacing w:line="240" w:lineRule="auto"/>
        <w:jc w:val="both"/>
        <w:rPr>
          <w:rFonts w:ascii="Times New Roman" w:hAnsi="Times New Roman" w:cs="Times New Roman"/>
          <w:b/>
          <w:bCs/>
          <w:color w:val="385623" w:themeColor="accent6" w:themeShade="80"/>
          <w:sz w:val="30"/>
          <w:szCs w:val="30"/>
        </w:rPr>
      </w:pPr>
    </w:p>
    <w:p w14:paraId="2ED44184" w14:textId="1E409E5D" w:rsidR="009A6489" w:rsidRDefault="009A6489" w:rsidP="001636BB">
      <w:pPr>
        <w:tabs>
          <w:tab w:val="left" w:pos="3990"/>
        </w:tabs>
        <w:spacing w:line="240" w:lineRule="auto"/>
        <w:jc w:val="both"/>
        <w:rPr>
          <w:rFonts w:ascii="Times New Roman" w:hAnsi="Times New Roman" w:cs="Times New Roman"/>
          <w:b/>
          <w:bCs/>
          <w:color w:val="385623" w:themeColor="accent6" w:themeShade="80"/>
          <w:sz w:val="30"/>
          <w:szCs w:val="30"/>
        </w:rPr>
      </w:pPr>
    </w:p>
    <w:p w14:paraId="45B8019B" w14:textId="6CA5095F" w:rsidR="009A6489" w:rsidRDefault="009A6489" w:rsidP="001636BB">
      <w:pPr>
        <w:tabs>
          <w:tab w:val="left" w:pos="3990"/>
        </w:tabs>
        <w:spacing w:line="240" w:lineRule="auto"/>
        <w:jc w:val="both"/>
        <w:rPr>
          <w:rFonts w:ascii="Times New Roman" w:hAnsi="Times New Roman" w:cs="Times New Roman"/>
          <w:b/>
          <w:bCs/>
          <w:color w:val="385623" w:themeColor="accent6" w:themeShade="80"/>
          <w:sz w:val="30"/>
          <w:szCs w:val="30"/>
        </w:rPr>
      </w:pPr>
    </w:p>
    <w:p w14:paraId="4030F6B3" w14:textId="77777777" w:rsidR="009520FC" w:rsidRDefault="009520FC" w:rsidP="001636BB">
      <w:pPr>
        <w:spacing w:after="0" w:line="240" w:lineRule="auto"/>
        <w:rPr>
          <w:rFonts w:ascii="Times New Roman" w:eastAsia="Times New Roman" w:hAnsi="Times New Roman" w:cs="Times New Roman"/>
          <w:b/>
          <w:bCs/>
          <w:color w:val="385623" w:themeColor="accent6" w:themeShade="80"/>
          <w:sz w:val="30"/>
          <w:szCs w:val="30"/>
        </w:rPr>
      </w:pPr>
    </w:p>
    <w:p w14:paraId="462DA988" w14:textId="77777777" w:rsidR="003B1A92" w:rsidRDefault="003B1A92" w:rsidP="001636BB">
      <w:pPr>
        <w:spacing w:after="0" w:line="240" w:lineRule="auto"/>
        <w:rPr>
          <w:rFonts w:ascii="Times New Roman" w:eastAsia="Times New Roman" w:hAnsi="Times New Roman" w:cs="Times New Roman"/>
          <w:b/>
          <w:bCs/>
          <w:color w:val="385623" w:themeColor="accent6" w:themeShade="80"/>
          <w:sz w:val="30"/>
          <w:szCs w:val="30"/>
        </w:rPr>
      </w:pPr>
    </w:p>
    <w:p w14:paraId="4DEAC724" w14:textId="6A298970" w:rsidR="003B1A92" w:rsidRDefault="00F74697" w:rsidP="001636BB">
      <w:pPr>
        <w:tabs>
          <w:tab w:val="left" w:pos="7815"/>
        </w:tabs>
        <w:spacing w:after="0" w:line="240" w:lineRule="auto"/>
        <w:rPr>
          <w:rFonts w:ascii="Times New Roman" w:eastAsia="Times New Roman" w:hAnsi="Times New Roman" w:cs="Times New Roman"/>
          <w:b/>
          <w:bCs/>
          <w:color w:val="385623" w:themeColor="accent6" w:themeShade="80"/>
          <w:sz w:val="30"/>
          <w:szCs w:val="30"/>
        </w:rPr>
      </w:pPr>
      <w:r>
        <w:rPr>
          <w:rFonts w:ascii="Times New Roman" w:eastAsia="Times New Roman" w:hAnsi="Times New Roman" w:cs="Times New Roman"/>
          <w:b/>
          <w:bCs/>
          <w:color w:val="385623" w:themeColor="accent6" w:themeShade="80"/>
          <w:sz w:val="30"/>
          <w:szCs w:val="30"/>
        </w:rPr>
        <w:tab/>
      </w:r>
    </w:p>
    <w:p w14:paraId="2281FFD2" w14:textId="77777777" w:rsidR="003B1A92" w:rsidRDefault="003B1A92" w:rsidP="001636BB">
      <w:pPr>
        <w:spacing w:after="0" w:line="240" w:lineRule="auto"/>
        <w:rPr>
          <w:rFonts w:ascii="Times New Roman" w:eastAsia="Times New Roman" w:hAnsi="Times New Roman" w:cs="Times New Roman"/>
          <w:b/>
          <w:bCs/>
          <w:color w:val="385623" w:themeColor="accent6" w:themeShade="80"/>
          <w:sz w:val="30"/>
          <w:szCs w:val="30"/>
        </w:rPr>
      </w:pPr>
    </w:p>
    <w:p w14:paraId="5BE8FB7E" w14:textId="77777777" w:rsidR="003B1A92" w:rsidRDefault="003B1A92" w:rsidP="001636BB">
      <w:pPr>
        <w:spacing w:after="0" w:line="240" w:lineRule="auto"/>
        <w:rPr>
          <w:rFonts w:ascii="Times New Roman" w:eastAsia="Times New Roman" w:hAnsi="Times New Roman" w:cs="Times New Roman"/>
          <w:b/>
          <w:bCs/>
          <w:color w:val="385623" w:themeColor="accent6" w:themeShade="80"/>
          <w:sz w:val="30"/>
          <w:szCs w:val="30"/>
        </w:rPr>
      </w:pPr>
    </w:p>
    <w:p w14:paraId="1EC2B704" w14:textId="77777777" w:rsidR="003B1A92" w:rsidRDefault="003B1A92" w:rsidP="001636BB">
      <w:pPr>
        <w:spacing w:after="0" w:line="240" w:lineRule="auto"/>
        <w:rPr>
          <w:rFonts w:ascii="Times New Roman" w:eastAsia="Times New Roman" w:hAnsi="Times New Roman" w:cs="Times New Roman"/>
          <w:b/>
          <w:bCs/>
          <w:color w:val="385623" w:themeColor="accent6" w:themeShade="80"/>
          <w:sz w:val="30"/>
          <w:szCs w:val="30"/>
        </w:rPr>
      </w:pPr>
    </w:p>
    <w:p w14:paraId="5B3DF0A1" w14:textId="77777777" w:rsidR="003B1A92" w:rsidRDefault="003B1A92" w:rsidP="001636BB">
      <w:pPr>
        <w:spacing w:after="0" w:line="240" w:lineRule="auto"/>
        <w:rPr>
          <w:rFonts w:ascii="Times New Roman" w:eastAsia="Times New Roman" w:hAnsi="Times New Roman" w:cs="Times New Roman"/>
          <w:b/>
          <w:bCs/>
          <w:color w:val="385623" w:themeColor="accent6" w:themeShade="80"/>
          <w:sz w:val="30"/>
          <w:szCs w:val="30"/>
        </w:rPr>
      </w:pPr>
    </w:p>
    <w:p w14:paraId="7A9BA821" w14:textId="77777777" w:rsidR="000C7119" w:rsidRDefault="000C7119" w:rsidP="001636BB">
      <w:pPr>
        <w:spacing w:after="0" w:line="240" w:lineRule="auto"/>
        <w:jc w:val="center"/>
        <w:rPr>
          <w:rFonts w:ascii="Times New Roman" w:eastAsia="Times New Roman" w:hAnsi="Times New Roman" w:cs="Times New Roman"/>
          <w:sz w:val="24"/>
          <w:szCs w:val="24"/>
        </w:rPr>
      </w:pPr>
    </w:p>
    <w:p w14:paraId="2D262485" w14:textId="77777777" w:rsidR="00317336" w:rsidRDefault="00317336" w:rsidP="000C7119">
      <w:pPr>
        <w:spacing w:after="0" w:line="240" w:lineRule="auto"/>
        <w:jc w:val="center"/>
        <w:rPr>
          <w:rFonts w:ascii="Times New Roman" w:eastAsia="Times New Roman" w:hAnsi="Times New Roman" w:cs="Times New Roman"/>
          <w:sz w:val="24"/>
          <w:szCs w:val="24"/>
        </w:rPr>
      </w:pPr>
    </w:p>
    <w:p w14:paraId="655C0D5F" w14:textId="77777777" w:rsidR="00B62EC8" w:rsidRDefault="00B62EC8" w:rsidP="000C7119">
      <w:pPr>
        <w:spacing w:after="0" w:line="240" w:lineRule="auto"/>
        <w:jc w:val="center"/>
        <w:rPr>
          <w:rFonts w:ascii="Times New Roman" w:eastAsia="Times New Roman" w:hAnsi="Times New Roman" w:cs="Times New Roman"/>
          <w:sz w:val="24"/>
          <w:szCs w:val="24"/>
        </w:rPr>
      </w:pPr>
    </w:p>
    <w:p w14:paraId="59371C59" w14:textId="67DB5BC2" w:rsidR="000C7119" w:rsidRDefault="00543287" w:rsidP="000C71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 </w:t>
      </w:r>
      <w:r w:rsidR="00D44F47">
        <w:rPr>
          <w:rFonts w:ascii="Times New Roman" w:eastAsia="Times New Roman" w:hAnsi="Times New Roman" w:cs="Times New Roman"/>
          <w:sz w:val="24"/>
          <w:szCs w:val="24"/>
        </w:rPr>
        <w:t>7</w:t>
      </w:r>
      <w:r w:rsidR="000C7119">
        <w:rPr>
          <w:rFonts w:ascii="Times New Roman" w:eastAsia="Times New Roman" w:hAnsi="Times New Roman" w:cs="Times New Roman"/>
          <w:sz w:val="24"/>
          <w:szCs w:val="24"/>
        </w:rPr>
        <w:t>. Buildings and Facilities Emissions</w:t>
      </w:r>
    </w:p>
    <w:p w14:paraId="40361022" w14:textId="77777777" w:rsidR="000C7119" w:rsidRDefault="000C7119" w:rsidP="000C7119">
      <w:pPr>
        <w:spacing w:after="0" w:line="240" w:lineRule="auto"/>
        <w:jc w:val="center"/>
        <w:rPr>
          <w:rFonts w:ascii="Times New Roman" w:eastAsia="Times New Roman" w:hAnsi="Times New Roman" w:cs="Times New Roman"/>
          <w:sz w:val="24"/>
          <w:szCs w:val="24"/>
        </w:rPr>
      </w:pPr>
    </w:p>
    <w:p w14:paraId="632A0DCD" w14:textId="67E477C2" w:rsidR="003B1A92" w:rsidRPr="000C7119" w:rsidRDefault="00150B05" w:rsidP="000C71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Stationary combustion through natural gas use is the largest source of emissions in the buildings &amp; facilities sector, with </w:t>
      </w:r>
      <w:r w:rsidR="002402A0">
        <w:rPr>
          <w:rFonts w:ascii="Times New Roman" w:eastAsia="Times New Roman" w:hAnsi="Times New Roman" w:cs="Times New Roman"/>
          <w:sz w:val="24"/>
          <w:szCs w:val="24"/>
        </w:rPr>
        <w:t>73% of emissions, or 90.53 MTCO</w:t>
      </w:r>
      <w:r w:rsidR="002402A0" w:rsidRPr="00AF7F1E">
        <w:rPr>
          <w:rFonts w:ascii="Times New Roman" w:eastAsia="Times New Roman" w:hAnsi="Times New Roman" w:cs="Times New Roman"/>
          <w:sz w:val="24"/>
          <w:szCs w:val="24"/>
          <w:vertAlign w:val="subscript"/>
        </w:rPr>
        <w:t>2</w:t>
      </w:r>
      <w:r w:rsidR="002402A0">
        <w:rPr>
          <w:rFonts w:ascii="Times New Roman" w:eastAsia="Times New Roman" w:hAnsi="Times New Roman" w:cs="Times New Roman"/>
          <w:sz w:val="24"/>
          <w:szCs w:val="24"/>
        </w:rPr>
        <w:t xml:space="preserve">e being emitted from this process. </w:t>
      </w:r>
      <w:r w:rsidR="00DC3A15">
        <w:rPr>
          <w:rFonts w:ascii="Times New Roman" w:eastAsia="Times New Roman" w:hAnsi="Times New Roman" w:cs="Times New Roman"/>
          <w:sz w:val="24"/>
          <w:szCs w:val="24"/>
        </w:rPr>
        <w:t xml:space="preserve">The heating uses of the buildings and facilities amounted to a total of </w:t>
      </w:r>
      <w:r w:rsidR="00973557">
        <w:rPr>
          <w:rFonts w:ascii="Times New Roman" w:eastAsia="Times New Roman" w:hAnsi="Times New Roman" w:cs="Times New Roman"/>
          <w:sz w:val="24"/>
          <w:szCs w:val="24"/>
        </w:rPr>
        <w:t xml:space="preserve">17,069 Therms. </w:t>
      </w:r>
      <w:r w:rsidR="002402A0">
        <w:rPr>
          <w:rFonts w:ascii="Times New Roman" w:eastAsia="Times New Roman" w:hAnsi="Times New Roman" w:cs="Times New Roman"/>
          <w:sz w:val="24"/>
          <w:szCs w:val="24"/>
        </w:rPr>
        <w:t xml:space="preserve">Electricity use by this sector </w:t>
      </w:r>
      <w:r w:rsidR="00D84128">
        <w:rPr>
          <w:rFonts w:ascii="Times New Roman" w:eastAsia="Times New Roman" w:hAnsi="Times New Roman" w:cs="Times New Roman"/>
          <w:sz w:val="24"/>
          <w:szCs w:val="24"/>
        </w:rPr>
        <w:t xml:space="preserve">falls behind natural gas use with 27% of total emissions, or 34.32 </w:t>
      </w:r>
      <w:r w:rsidR="00AF7F1E">
        <w:rPr>
          <w:rFonts w:ascii="Times New Roman" w:eastAsia="Times New Roman" w:hAnsi="Times New Roman" w:cs="Times New Roman"/>
          <w:sz w:val="24"/>
          <w:szCs w:val="24"/>
        </w:rPr>
        <w:t>MTCO</w:t>
      </w:r>
      <w:r w:rsidR="00AF7F1E" w:rsidRPr="00AF7F1E">
        <w:rPr>
          <w:rFonts w:ascii="Times New Roman" w:eastAsia="Times New Roman" w:hAnsi="Times New Roman" w:cs="Times New Roman"/>
          <w:sz w:val="24"/>
          <w:szCs w:val="24"/>
          <w:vertAlign w:val="subscript"/>
        </w:rPr>
        <w:t>2</w:t>
      </w:r>
      <w:r w:rsidR="00AF7F1E">
        <w:rPr>
          <w:rFonts w:ascii="Times New Roman" w:eastAsia="Times New Roman" w:hAnsi="Times New Roman" w:cs="Times New Roman"/>
          <w:sz w:val="24"/>
          <w:szCs w:val="24"/>
        </w:rPr>
        <w:t>e</w:t>
      </w:r>
      <w:r w:rsidR="00D84128">
        <w:rPr>
          <w:rFonts w:ascii="Times New Roman" w:eastAsia="Times New Roman" w:hAnsi="Times New Roman" w:cs="Times New Roman"/>
          <w:sz w:val="24"/>
          <w:szCs w:val="24"/>
        </w:rPr>
        <w:t xml:space="preserve">. </w:t>
      </w:r>
      <w:r w:rsidR="00973557">
        <w:rPr>
          <w:rFonts w:ascii="Times New Roman" w:eastAsia="Times New Roman" w:hAnsi="Times New Roman" w:cs="Times New Roman"/>
          <w:sz w:val="24"/>
          <w:szCs w:val="24"/>
        </w:rPr>
        <w:t xml:space="preserve">Electricity usage for this sector amounted to 297,676 </w:t>
      </w:r>
      <w:r w:rsidR="00F74697">
        <w:rPr>
          <w:rFonts w:ascii="Times New Roman" w:eastAsia="Times New Roman" w:hAnsi="Times New Roman" w:cs="Times New Roman"/>
          <w:sz w:val="24"/>
          <w:szCs w:val="24"/>
        </w:rPr>
        <w:t>kWh</w:t>
      </w:r>
      <w:r w:rsidR="00973557">
        <w:rPr>
          <w:rFonts w:ascii="Times New Roman" w:eastAsia="Times New Roman" w:hAnsi="Times New Roman" w:cs="Times New Roman"/>
          <w:sz w:val="24"/>
          <w:szCs w:val="24"/>
        </w:rPr>
        <w:t xml:space="preserve">. </w:t>
      </w:r>
      <w:r w:rsidR="00D84128">
        <w:rPr>
          <w:rFonts w:ascii="Times New Roman" w:eastAsia="Times New Roman" w:hAnsi="Times New Roman" w:cs="Times New Roman"/>
          <w:sz w:val="24"/>
          <w:szCs w:val="24"/>
        </w:rPr>
        <w:t xml:space="preserve">The buildings &amp; facilities sector is responsible for </w:t>
      </w:r>
      <w:r w:rsidR="007E0FD4">
        <w:rPr>
          <w:rFonts w:ascii="Times New Roman" w:eastAsia="Times New Roman" w:hAnsi="Times New Roman" w:cs="Times New Roman"/>
          <w:sz w:val="24"/>
          <w:szCs w:val="24"/>
        </w:rPr>
        <w:t xml:space="preserve">124.85 </w:t>
      </w:r>
      <w:r w:rsidR="00AF7F1E">
        <w:rPr>
          <w:rFonts w:ascii="Times New Roman" w:eastAsia="Times New Roman" w:hAnsi="Times New Roman" w:cs="Times New Roman"/>
          <w:sz w:val="24"/>
          <w:szCs w:val="24"/>
        </w:rPr>
        <w:t>MTCO</w:t>
      </w:r>
      <w:r w:rsidR="00AF7F1E" w:rsidRPr="00AF7F1E">
        <w:rPr>
          <w:rFonts w:ascii="Times New Roman" w:eastAsia="Times New Roman" w:hAnsi="Times New Roman" w:cs="Times New Roman"/>
          <w:sz w:val="24"/>
          <w:szCs w:val="24"/>
          <w:vertAlign w:val="subscript"/>
        </w:rPr>
        <w:t>2</w:t>
      </w:r>
      <w:r w:rsidR="00AF7F1E">
        <w:rPr>
          <w:rFonts w:ascii="Times New Roman" w:eastAsia="Times New Roman" w:hAnsi="Times New Roman" w:cs="Times New Roman"/>
          <w:sz w:val="24"/>
          <w:szCs w:val="24"/>
        </w:rPr>
        <w:t>e</w:t>
      </w:r>
      <w:r w:rsidR="007E0FD4">
        <w:rPr>
          <w:rFonts w:ascii="Times New Roman" w:eastAsia="Times New Roman" w:hAnsi="Times New Roman" w:cs="Times New Roman"/>
          <w:sz w:val="24"/>
          <w:szCs w:val="24"/>
        </w:rPr>
        <w:t xml:space="preserve"> </w:t>
      </w:r>
      <w:r w:rsidR="00D44F47">
        <w:rPr>
          <w:rFonts w:ascii="Times New Roman" w:eastAsia="Times New Roman" w:hAnsi="Times New Roman" w:cs="Times New Roman"/>
          <w:sz w:val="24"/>
          <w:szCs w:val="24"/>
        </w:rPr>
        <w:t xml:space="preserve">of the total emissions of the Town of Manlius. </w:t>
      </w:r>
    </w:p>
    <w:p w14:paraId="19099B53" w14:textId="14D9BB93" w:rsidR="001E53E8" w:rsidRPr="00903D90" w:rsidRDefault="001E53E8" w:rsidP="001636BB">
      <w:pPr>
        <w:pStyle w:val="Heading1"/>
        <w:spacing w:line="240" w:lineRule="auto"/>
        <w:rPr>
          <w:rFonts w:ascii="Times New Roman" w:eastAsia="Times New Roman" w:hAnsi="Times New Roman" w:cs="Times New Roman"/>
          <w:b/>
          <w:bCs/>
          <w:color w:val="385623" w:themeColor="accent6" w:themeShade="80"/>
        </w:rPr>
      </w:pPr>
      <w:bookmarkStart w:id="11" w:name="_Toc71547929"/>
      <w:r w:rsidRPr="00903D90">
        <w:rPr>
          <w:rFonts w:ascii="Times New Roman" w:eastAsia="Times New Roman" w:hAnsi="Times New Roman" w:cs="Times New Roman"/>
          <w:b/>
          <w:bCs/>
          <w:color w:val="385623" w:themeColor="accent6" w:themeShade="80"/>
        </w:rPr>
        <w:t>Discussion and Summary of Findings</w:t>
      </w:r>
      <w:bookmarkEnd w:id="11"/>
    </w:p>
    <w:p w14:paraId="20988A4F" w14:textId="338DC867" w:rsidR="001E53E8" w:rsidRPr="001E53E8" w:rsidRDefault="001E53E8" w:rsidP="000C7119">
      <w:pPr>
        <w:spacing w:after="0" w:line="240" w:lineRule="auto"/>
        <w:jc w:val="both"/>
        <w:rPr>
          <w:rFonts w:ascii="Times New Roman" w:eastAsia="Times New Roman" w:hAnsi="Times New Roman" w:cs="Times New Roman"/>
          <w:sz w:val="24"/>
          <w:szCs w:val="24"/>
        </w:rPr>
      </w:pPr>
      <w:r w:rsidRPr="001E53E8">
        <w:rPr>
          <w:rFonts w:ascii="Times New Roman" w:eastAsia="Times New Roman" w:hAnsi="Times New Roman" w:cs="Times New Roman"/>
          <w:color w:val="000000"/>
          <w:sz w:val="24"/>
          <w:szCs w:val="24"/>
        </w:rPr>
        <w:tab/>
      </w:r>
      <w:r w:rsidR="00306B76" w:rsidRPr="001E53E8">
        <w:rPr>
          <w:rFonts w:ascii="Times New Roman" w:eastAsia="Times New Roman" w:hAnsi="Times New Roman" w:cs="Times New Roman"/>
          <w:color w:val="000000"/>
          <w:sz w:val="24"/>
          <w:szCs w:val="24"/>
        </w:rPr>
        <w:t xml:space="preserve">Overall, the three sectors given have provided vastly different emission numbers yet properly represent the municipality. Beginning with streetlights, this sector emitted a total of 18.49 </w:t>
      </w:r>
      <w:r w:rsidR="00AF7F1E">
        <w:rPr>
          <w:rFonts w:ascii="Times New Roman" w:eastAsia="Times New Roman" w:hAnsi="Times New Roman" w:cs="Times New Roman"/>
          <w:sz w:val="24"/>
          <w:szCs w:val="24"/>
        </w:rPr>
        <w:t>MTCO</w:t>
      </w:r>
      <w:r w:rsidR="00AF7F1E" w:rsidRPr="00AF7F1E">
        <w:rPr>
          <w:rFonts w:ascii="Times New Roman" w:eastAsia="Times New Roman" w:hAnsi="Times New Roman" w:cs="Times New Roman"/>
          <w:sz w:val="24"/>
          <w:szCs w:val="24"/>
          <w:vertAlign w:val="subscript"/>
        </w:rPr>
        <w:t>2</w:t>
      </w:r>
      <w:r w:rsidR="00AF7F1E">
        <w:rPr>
          <w:rFonts w:ascii="Times New Roman" w:eastAsia="Times New Roman" w:hAnsi="Times New Roman" w:cs="Times New Roman"/>
          <w:sz w:val="24"/>
          <w:szCs w:val="24"/>
        </w:rPr>
        <w:t>e</w:t>
      </w:r>
      <w:r w:rsidR="00306B76" w:rsidRPr="001E53E8">
        <w:rPr>
          <w:rFonts w:ascii="Times New Roman" w:eastAsia="Times New Roman" w:hAnsi="Times New Roman" w:cs="Times New Roman"/>
          <w:color w:val="000000"/>
          <w:sz w:val="24"/>
          <w:szCs w:val="24"/>
        </w:rPr>
        <w:t xml:space="preserve"> over the course of the year. In total, this represents 2% of all emissions released from Manlius. Following streetlights, the buildings &amp; facilities had total emissions of 124.85 </w:t>
      </w:r>
      <w:r w:rsidR="00AF7F1E">
        <w:rPr>
          <w:rFonts w:ascii="Times New Roman" w:eastAsia="Times New Roman" w:hAnsi="Times New Roman" w:cs="Times New Roman"/>
          <w:sz w:val="24"/>
          <w:szCs w:val="24"/>
        </w:rPr>
        <w:t>MTCO</w:t>
      </w:r>
      <w:r w:rsidR="00AF7F1E" w:rsidRPr="00AF7F1E">
        <w:rPr>
          <w:rFonts w:ascii="Times New Roman" w:eastAsia="Times New Roman" w:hAnsi="Times New Roman" w:cs="Times New Roman"/>
          <w:sz w:val="24"/>
          <w:szCs w:val="24"/>
          <w:vertAlign w:val="subscript"/>
        </w:rPr>
        <w:t>2</w:t>
      </w:r>
      <w:r w:rsidR="00AF7F1E">
        <w:rPr>
          <w:rFonts w:ascii="Times New Roman" w:eastAsia="Times New Roman" w:hAnsi="Times New Roman" w:cs="Times New Roman"/>
          <w:sz w:val="24"/>
          <w:szCs w:val="24"/>
        </w:rPr>
        <w:t>e</w:t>
      </w:r>
      <w:r w:rsidR="00306B76">
        <w:rPr>
          <w:rFonts w:ascii="Times New Roman" w:eastAsia="Times New Roman" w:hAnsi="Times New Roman" w:cs="Times New Roman"/>
          <w:color w:val="000000"/>
          <w:sz w:val="24"/>
          <w:szCs w:val="24"/>
        </w:rPr>
        <w:t xml:space="preserve">, or </w:t>
      </w:r>
      <w:r w:rsidR="00306B76" w:rsidRPr="001E53E8">
        <w:rPr>
          <w:rFonts w:ascii="Times New Roman" w:eastAsia="Times New Roman" w:hAnsi="Times New Roman" w:cs="Times New Roman"/>
          <w:color w:val="000000"/>
          <w:sz w:val="24"/>
          <w:szCs w:val="24"/>
        </w:rPr>
        <w:t xml:space="preserve">14% of total emissions. Finally, the vehicle fleet sector </w:t>
      </w:r>
      <w:r w:rsidR="00306B76">
        <w:rPr>
          <w:rFonts w:ascii="Times New Roman" w:eastAsia="Times New Roman" w:hAnsi="Times New Roman" w:cs="Times New Roman"/>
          <w:color w:val="000000"/>
          <w:sz w:val="24"/>
          <w:szCs w:val="24"/>
        </w:rPr>
        <w:t>was by far the</w:t>
      </w:r>
      <w:r w:rsidR="00306B76" w:rsidRPr="001E53E8">
        <w:rPr>
          <w:rFonts w:ascii="Times New Roman" w:eastAsia="Times New Roman" w:hAnsi="Times New Roman" w:cs="Times New Roman"/>
          <w:color w:val="000000"/>
          <w:sz w:val="24"/>
          <w:szCs w:val="24"/>
        </w:rPr>
        <w:t xml:space="preserve"> largest </w:t>
      </w:r>
      <w:r w:rsidR="00306B76">
        <w:rPr>
          <w:rFonts w:ascii="Times New Roman" w:eastAsia="Times New Roman" w:hAnsi="Times New Roman" w:cs="Times New Roman"/>
          <w:color w:val="000000"/>
          <w:sz w:val="24"/>
          <w:szCs w:val="24"/>
        </w:rPr>
        <w:t>emitting sector,</w:t>
      </w:r>
      <w:r w:rsidR="00306B76" w:rsidRPr="001E53E8">
        <w:rPr>
          <w:rFonts w:ascii="Times New Roman" w:eastAsia="Times New Roman" w:hAnsi="Times New Roman" w:cs="Times New Roman"/>
          <w:color w:val="000000"/>
          <w:sz w:val="24"/>
          <w:szCs w:val="24"/>
        </w:rPr>
        <w:t xml:space="preserve"> producing </w:t>
      </w:r>
      <w:r w:rsidR="00306B76">
        <w:rPr>
          <w:rFonts w:ascii="Times New Roman" w:eastAsia="Times New Roman" w:hAnsi="Times New Roman" w:cs="Times New Roman"/>
          <w:color w:val="000000"/>
          <w:sz w:val="24"/>
          <w:szCs w:val="24"/>
        </w:rPr>
        <w:t xml:space="preserve">770.75 </w:t>
      </w:r>
      <w:r w:rsidR="00AF7F1E">
        <w:rPr>
          <w:rFonts w:ascii="Times New Roman" w:eastAsia="Times New Roman" w:hAnsi="Times New Roman" w:cs="Times New Roman"/>
          <w:sz w:val="24"/>
          <w:szCs w:val="24"/>
        </w:rPr>
        <w:t>MTCO</w:t>
      </w:r>
      <w:r w:rsidR="00AF7F1E" w:rsidRPr="00AF7F1E">
        <w:rPr>
          <w:rFonts w:ascii="Times New Roman" w:eastAsia="Times New Roman" w:hAnsi="Times New Roman" w:cs="Times New Roman"/>
          <w:sz w:val="24"/>
          <w:szCs w:val="24"/>
          <w:vertAlign w:val="subscript"/>
        </w:rPr>
        <w:t>2</w:t>
      </w:r>
      <w:r w:rsidR="00AF7F1E">
        <w:rPr>
          <w:rFonts w:ascii="Times New Roman" w:eastAsia="Times New Roman" w:hAnsi="Times New Roman" w:cs="Times New Roman"/>
          <w:sz w:val="24"/>
          <w:szCs w:val="24"/>
        </w:rPr>
        <w:t>e</w:t>
      </w:r>
      <w:r w:rsidR="00306B76">
        <w:rPr>
          <w:rFonts w:ascii="Times New Roman" w:eastAsia="Times New Roman" w:hAnsi="Times New Roman" w:cs="Times New Roman"/>
          <w:color w:val="000000"/>
          <w:sz w:val="24"/>
          <w:szCs w:val="24"/>
        </w:rPr>
        <w:t xml:space="preserve">, or </w:t>
      </w:r>
      <w:r w:rsidR="00306B76" w:rsidRPr="001E53E8">
        <w:rPr>
          <w:rFonts w:ascii="Times New Roman" w:eastAsia="Times New Roman" w:hAnsi="Times New Roman" w:cs="Times New Roman"/>
          <w:color w:val="000000"/>
          <w:sz w:val="24"/>
          <w:szCs w:val="24"/>
        </w:rPr>
        <w:t xml:space="preserve">84% of all emissions. </w:t>
      </w:r>
      <w:r w:rsidR="00306B76">
        <w:rPr>
          <w:rFonts w:ascii="Times New Roman" w:eastAsia="Times New Roman" w:hAnsi="Times New Roman" w:cs="Times New Roman"/>
          <w:color w:val="000000"/>
          <w:sz w:val="24"/>
          <w:szCs w:val="24"/>
        </w:rPr>
        <w:t>Total emissions for 2019 for the Town of Manlius municipal operations was</w:t>
      </w:r>
      <w:r w:rsidR="00306B76" w:rsidRPr="001E53E8">
        <w:rPr>
          <w:rFonts w:ascii="Times New Roman" w:eastAsia="Times New Roman" w:hAnsi="Times New Roman" w:cs="Times New Roman"/>
          <w:color w:val="000000"/>
          <w:sz w:val="24"/>
          <w:szCs w:val="24"/>
        </w:rPr>
        <w:t xml:space="preserve"> </w:t>
      </w:r>
      <w:r w:rsidR="00306B76" w:rsidRPr="669A574A">
        <w:rPr>
          <w:rFonts w:ascii="Times New Roman" w:hAnsi="Times New Roman" w:cs="Times New Roman"/>
          <w:sz w:val="24"/>
          <w:szCs w:val="24"/>
        </w:rPr>
        <w:t>914.09</w:t>
      </w:r>
      <w:r w:rsidR="00306B76" w:rsidRPr="001E53E8">
        <w:rPr>
          <w:rFonts w:ascii="Times New Roman" w:eastAsia="Times New Roman" w:hAnsi="Times New Roman" w:cs="Times New Roman"/>
          <w:color w:val="000000"/>
          <w:sz w:val="24"/>
          <w:szCs w:val="24"/>
        </w:rPr>
        <w:t xml:space="preserve"> </w:t>
      </w:r>
      <w:r w:rsidR="00AF7F1E">
        <w:rPr>
          <w:rFonts w:ascii="Times New Roman" w:eastAsia="Times New Roman" w:hAnsi="Times New Roman" w:cs="Times New Roman"/>
          <w:sz w:val="24"/>
          <w:szCs w:val="24"/>
        </w:rPr>
        <w:t>MTCO</w:t>
      </w:r>
      <w:r w:rsidR="00AF7F1E" w:rsidRPr="00AF7F1E">
        <w:rPr>
          <w:rFonts w:ascii="Times New Roman" w:eastAsia="Times New Roman" w:hAnsi="Times New Roman" w:cs="Times New Roman"/>
          <w:sz w:val="24"/>
          <w:szCs w:val="24"/>
          <w:vertAlign w:val="subscript"/>
        </w:rPr>
        <w:t>2</w:t>
      </w:r>
      <w:r w:rsidR="00AF7F1E">
        <w:rPr>
          <w:rFonts w:ascii="Times New Roman" w:eastAsia="Times New Roman" w:hAnsi="Times New Roman" w:cs="Times New Roman"/>
          <w:sz w:val="24"/>
          <w:szCs w:val="24"/>
        </w:rPr>
        <w:t>e</w:t>
      </w:r>
      <w:r w:rsidR="001542B1">
        <w:rPr>
          <w:rFonts w:ascii="Times New Roman" w:eastAsia="Times New Roman" w:hAnsi="Times New Roman" w:cs="Times New Roman"/>
          <w:sz w:val="24"/>
          <w:szCs w:val="24"/>
        </w:rPr>
        <w:t>.</w:t>
      </w:r>
    </w:p>
    <w:p w14:paraId="41F30FF9" w14:textId="6EB8BA33" w:rsidR="000C7119" w:rsidRDefault="00E53FDE" w:rsidP="00670240">
      <w:pPr>
        <w:tabs>
          <w:tab w:val="left" w:pos="3990"/>
        </w:tabs>
        <w:spacing w:line="240" w:lineRule="auto"/>
        <w:jc w:val="center"/>
        <w:rPr>
          <w:color w:val="000000"/>
        </w:rPr>
      </w:pPr>
      <w:bookmarkStart w:id="12" w:name="_Toc71547930"/>
      <w:r>
        <w:rPr>
          <w:noProof/>
        </w:rPr>
        <w:drawing>
          <wp:anchor distT="0" distB="0" distL="114300" distR="114300" simplePos="0" relativeHeight="251664392" behindDoc="0" locked="0" layoutInCell="1" allowOverlap="1" wp14:anchorId="3FCC2ABE" wp14:editId="4AE3851C">
            <wp:simplePos x="0" y="0"/>
            <wp:positionH relativeFrom="margin">
              <wp:posOffset>0</wp:posOffset>
            </wp:positionH>
            <wp:positionV relativeFrom="paragraph">
              <wp:posOffset>272415</wp:posOffset>
            </wp:positionV>
            <wp:extent cx="5943600" cy="3660775"/>
            <wp:effectExtent l="0" t="0" r="0" b="15875"/>
            <wp:wrapSquare wrapText="bothSides"/>
            <wp:docPr id="8" name="Chart 8">
              <a:extLst xmlns:a="http://schemas.openxmlformats.org/drawingml/2006/main">
                <a:ext uri="{FF2B5EF4-FFF2-40B4-BE49-F238E27FC236}">
                  <a16:creationId xmlns:a16="http://schemas.microsoft.com/office/drawing/2014/main" id="{C0774EE2-E31F-4D1B-8C80-12032C6FF0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2004DE30" w14:textId="63D9BC10" w:rsidR="000C7119" w:rsidRPr="000C7119" w:rsidRDefault="000C7119" w:rsidP="000C7119">
      <w:pPr>
        <w:tabs>
          <w:tab w:val="left" w:pos="3990"/>
        </w:tabs>
        <w:spacing w:line="240" w:lineRule="auto"/>
        <w:jc w:val="center"/>
        <w:rPr>
          <w:rFonts w:ascii="Times New Roman" w:hAnsi="Times New Roman" w:cs="Times New Roman"/>
          <w:b/>
          <w:bCs/>
          <w:color w:val="385623" w:themeColor="accent6" w:themeShade="80"/>
          <w:sz w:val="24"/>
          <w:szCs w:val="24"/>
        </w:rPr>
      </w:pPr>
      <w:r>
        <w:rPr>
          <w:rFonts w:ascii="Times New Roman" w:hAnsi="Times New Roman" w:cs="Times New Roman"/>
          <w:color w:val="000000"/>
          <w:sz w:val="24"/>
          <w:szCs w:val="24"/>
        </w:rPr>
        <w:t xml:space="preserve">      </w:t>
      </w:r>
      <w:r w:rsidRPr="000C7119">
        <w:rPr>
          <w:rFonts w:ascii="Times New Roman" w:hAnsi="Times New Roman" w:cs="Times New Roman"/>
          <w:color w:val="000000"/>
          <w:sz w:val="24"/>
          <w:szCs w:val="24"/>
        </w:rPr>
        <w:t>Figure 8: Total emissions from all three sectors</w:t>
      </w:r>
    </w:p>
    <w:p w14:paraId="06F39650" w14:textId="77777777" w:rsidR="00B62EC8" w:rsidRDefault="00B62EC8" w:rsidP="004F3BDE">
      <w:pPr>
        <w:pStyle w:val="Heading1"/>
        <w:spacing w:line="240" w:lineRule="auto"/>
        <w:jc w:val="both"/>
        <w:rPr>
          <w:rFonts w:ascii="Times New Roman" w:hAnsi="Times New Roman" w:cs="Times New Roman"/>
          <w:b/>
          <w:bCs/>
          <w:color w:val="385623" w:themeColor="accent6" w:themeShade="80"/>
        </w:rPr>
      </w:pPr>
    </w:p>
    <w:p w14:paraId="7A9FACE6" w14:textId="7C348C34" w:rsidR="001D3DC3" w:rsidRPr="00903D90" w:rsidRDefault="001D3DC3" w:rsidP="004F3BDE">
      <w:pPr>
        <w:pStyle w:val="Heading1"/>
        <w:spacing w:line="240" w:lineRule="auto"/>
        <w:jc w:val="both"/>
        <w:rPr>
          <w:rFonts w:ascii="Times New Roman" w:hAnsi="Times New Roman" w:cs="Times New Roman"/>
          <w:b/>
          <w:bCs/>
          <w:color w:val="385623" w:themeColor="accent6" w:themeShade="80"/>
        </w:rPr>
      </w:pPr>
      <w:r w:rsidRPr="00903D90">
        <w:rPr>
          <w:rFonts w:ascii="Times New Roman" w:hAnsi="Times New Roman" w:cs="Times New Roman"/>
          <w:b/>
          <w:bCs/>
          <w:color w:val="385623" w:themeColor="accent6" w:themeShade="80"/>
        </w:rPr>
        <w:t>Recommendations</w:t>
      </w:r>
      <w:bookmarkEnd w:id="12"/>
    </w:p>
    <w:p w14:paraId="05F5F96F" w14:textId="5FFA939E" w:rsidR="001D3DC3" w:rsidRDefault="00D47CB7" w:rsidP="004F3BDE">
      <w:pPr>
        <w:tabs>
          <w:tab w:val="left" w:pos="3990"/>
        </w:tabs>
        <w:spacing w:line="240" w:lineRule="auto"/>
        <w:jc w:val="both"/>
        <w:rPr>
          <w:rFonts w:ascii="Times New Roman" w:hAnsi="Times New Roman" w:cs="Times New Roman"/>
          <w:sz w:val="24"/>
          <w:szCs w:val="24"/>
        </w:rPr>
      </w:pPr>
      <w:r>
        <w:rPr>
          <w:rFonts w:ascii="Times New Roman" w:hAnsi="Times New Roman" w:cs="Times New Roman"/>
          <w:sz w:val="24"/>
          <w:szCs w:val="24"/>
        </w:rPr>
        <w:t>The emissions from vehicle fleet sector can be reduced in the following ways:</w:t>
      </w:r>
    </w:p>
    <w:p w14:paraId="2AFE0F6F" w14:textId="15CD5B74" w:rsidR="00D47CB7" w:rsidRDefault="00D47CB7" w:rsidP="004F3BDE">
      <w:pPr>
        <w:pStyle w:val="ListParagraph"/>
        <w:numPr>
          <w:ilvl w:val="0"/>
          <w:numId w:val="6"/>
        </w:numPr>
        <w:tabs>
          <w:tab w:val="left" w:pos="3990"/>
        </w:tabs>
        <w:spacing w:line="240" w:lineRule="auto"/>
        <w:jc w:val="both"/>
        <w:rPr>
          <w:rFonts w:ascii="Times New Roman" w:hAnsi="Times New Roman" w:cs="Times New Roman"/>
          <w:sz w:val="24"/>
          <w:szCs w:val="24"/>
        </w:rPr>
      </w:pPr>
      <w:r w:rsidRPr="00AB5356">
        <w:rPr>
          <w:rFonts w:ascii="Times New Roman" w:hAnsi="Times New Roman" w:cs="Times New Roman"/>
          <w:sz w:val="24"/>
          <w:szCs w:val="24"/>
        </w:rPr>
        <w:lastRenderedPageBreak/>
        <w:t xml:space="preserve">Electric </w:t>
      </w:r>
      <w:r w:rsidR="00DD002A" w:rsidRPr="00AB5356">
        <w:rPr>
          <w:rFonts w:ascii="Times New Roman" w:hAnsi="Times New Roman" w:cs="Times New Roman"/>
          <w:sz w:val="24"/>
          <w:szCs w:val="24"/>
        </w:rPr>
        <w:t xml:space="preserve">vehicles are </w:t>
      </w:r>
      <w:r w:rsidR="00AB5356" w:rsidRPr="00AB5356">
        <w:rPr>
          <w:rFonts w:ascii="Times New Roman" w:hAnsi="Times New Roman" w:cs="Times New Roman"/>
          <w:sz w:val="24"/>
          <w:szCs w:val="24"/>
        </w:rPr>
        <w:t>electric vehicles are much cleaner to operate than other types of vehicles, especially in upstate NY where the electric grid is made up of primarily low emitting sources, such as hydropower and nuclear power. In the future, as the electric grid make up becomes more comprised of renewable fuels, electric vehicles will run even cleaner.</w:t>
      </w:r>
      <w:r w:rsidR="00AB5356">
        <w:rPr>
          <w:rFonts w:ascii="Times New Roman" w:hAnsi="Times New Roman" w:cs="Times New Roman"/>
          <w:sz w:val="24"/>
          <w:szCs w:val="24"/>
        </w:rPr>
        <w:t xml:space="preserve"> Because of that</w:t>
      </w:r>
      <w:r w:rsidR="00872BBC">
        <w:rPr>
          <w:rFonts w:ascii="Times New Roman" w:hAnsi="Times New Roman" w:cs="Times New Roman"/>
          <w:sz w:val="24"/>
          <w:szCs w:val="24"/>
        </w:rPr>
        <w:t>,</w:t>
      </w:r>
      <w:r w:rsidR="00AB5356">
        <w:rPr>
          <w:rFonts w:ascii="Times New Roman" w:hAnsi="Times New Roman" w:cs="Times New Roman"/>
          <w:sz w:val="24"/>
          <w:szCs w:val="24"/>
        </w:rPr>
        <w:t xml:space="preserve"> electric vehicles</w:t>
      </w:r>
      <w:r w:rsidR="00DD002A">
        <w:rPr>
          <w:rFonts w:ascii="Times New Roman" w:hAnsi="Times New Roman" w:cs="Times New Roman"/>
          <w:sz w:val="24"/>
          <w:szCs w:val="24"/>
        </w:rPr>
        <w:t xml:space="preserve"> </w:t>
      </w:r>
      <w:r w:rsidR="00872BBC">
        <w:rPr>
          <w:rFonts w:ascii="Times New Roman" w:hAnsi="Times New Roman" w:cs="Times New Roman"/>
          <w:sz w:val="24"/>
          <w:szCs w:val="24"/>
        </w:rPr>
        <w:t>could be considered for future fleet replacements</w:t>
      </w:r>
      <w:r w:rsidR="00A678D6">
        <w:rPr>
          <w:rFonts w:ascii="Times New Roman" w:hAnsi="Times New Roman" w:cs="Times New Roman"/>
          <w:sz w:val="24"/>
          <w:szCs w:val="24"/>
        </w:rPr>
        <w:t xml:space="preserve"> at the Town.</w:t>
      </w:r>
      <w:r w:rsidR="00872BBC">
        <w:rPr>
          <w:rFonts w:ascii="Times New Roman" w:hAnsi="Times New Roman" w:cs="Times New Roman"/>
          <w:sz w:val="24"/>
          <w:szCs w:val="24"/>
        </w:rPr>
        <w:t xml:space="preserve"> While electric heavy</w:t>
      </w:r>
      <w:r w:rsidR="00A678D6">
        <w:rPr>
          <w:rFonts w:ascii="Times New Roman" w:hAnsi="Times New Roman" w:cs="Times New Roman"/>
          <w:sz w:val="24"/>
          <w:szCs w:val="24"/>
        </w:rPr>
        <w:t>-</w:t>
      </w:r>
      <w:r w:rsidR="00872BBC">
        <w:rPr>
          <w:rFonts w:ascii="Times New Roman" w:hAnsi="Times New Roman" w:cs="Times New Roman"/>
          <w:sz w:val="24"/>
          <w:szCs w:val="24"/>
        </w:rPr>
        <w:t>duty vehicles are currently more difficult and expensive to come by, new options are increasingly becoming available that the Town can consider in the future.</w:t>
      </w:r>
    </w:p>
    <w:p w14:paraId="7BD21833" w14:textId="57AB4E2F" w:rsidR="00161276" w:rsidRDefault="00161276" w:rsidP="00161276">
      <w:pPr>
        <w:pStyle w:val="ListParagraph"/>
        <w:numPr>
          <w:ilvl w:val="0"/>
          <w:numId w:val="6"/>
        </w:numPr>
        <w:tabs>
          <w:tab w:val="left" w:pos="3990"/>
        </w:tabs>
        <w:spacing w:line="240" w:lineRule="auto"/>
        <w:jc w:val="both"/>
        <w:rPr>
          <w:rFonts w:ascii="Times New Roman" w:hAnsi="Times New Roman" w:cs="Times New Roman"/>
          <w:sz w:val="24"/>
          <w:szCs w:val="24"/>
        </w:rPr>
      </w:pPr>
      <w:r>
        <w:rPr>
          <w:rFonts w:ascii="Times New Roman" w:hAnsi="Times New Roman" w:cs="Times New Roman"/>
          <w:sz w:val="24"/>
          <w:szCs w:val="24"/>
        </w:rPr>
        <w:t>According to Alternate Fuels Data Center of the US Department of Energy:</w:t>
      </w:r>
    </w:p>
    <w:p w14:paraId="2CD1F6BB" w14:textId="5820A4FA" w:rsidR="00161276" w:rsidRDefault="00DD002A" w:rsidP="00875AB0">
      <w:pPr>
        <w:pStyle w:val="ListParagraph"/>
        <w:numPr>
          <w:ilvl w:val="5"/>
          <w:numId w:val="15"/>
        </w:numPr>
        <w:tabs>
          <w:tab w:val="left" w:pos="3990"/>
        </w:tabs>
        <w:spacing w:line="240" w:lineRule="auto"/>
        <w:jc w:val="both"/>
        <w:rPr>
          <w:rFonts w:ascii="Times New Roman" w:hAnsi="Times New Roman" w:cs="Times New Roman"/>
          <w:sz w:val="24"/>
          <w:szCs w:val="24"/>
        </w:rPr>
      </w:pPr>
      <w:r w:rsidRPr="00161276">
        <w:rPr>
          <w:rFonts w:ascii="Times New Roman" w:hAnsi="Times New Roman" w:cs="Times New Roman"/>
          <w:sz w:val="24"/>
          <w:szCs w:val="24"/>
        </w:rPr>
        <w:t xml:space="preserve">Natural gas vehicles </w:t>
      </w:r>
      <w:r w:rsidR="00E06D59">
        <w:rPr>
          <w:rFonts w:ascii="Times New Roman" w:hAnsi="Times New Roman" w:cs="Times New Roman"/>
          <w:sz w:val="24"/>
          <w:szCs w:val="24"/>
        </w:rPr>
        <w:t>are another option that could</w:t>
      </w:r>
      <w:r w:rsidRPr="00161276">
        <w:rPr>
          <w:rFonts w:ascii="Times New Roman" w:hAnsi="Times New Roman" w:cs="Times New Roman"/>
          <w:sz w:val="24"/>
          <w:szCs w:val="24"/>
        </w:rPr>
        <w:t xml:space="preserve"> be used </w:t>
      </w:r>
      <w:r w:rsidR="00E06D59">
        <w:rPr>
          <w:rFonts w:ascii="Times New Roman" w:hAnsi="Times New Roman" w:cs="Times New Roman"/>
          <w:sz w:val="24"/>
          <w:szCs w:val="24"/>
        </w:rPr>
        <w:t>to</w:t>
      </w:r>
      <w:r w:rsidRPr="00161276">
        <w:rPr>
          <w:rFonts w:ascii="Times New Roman" w:hAnsi="Times New Roman" w:cs="Times New Roman"/>
          <w:sz w:val="24"/>
          <w:szCs w:val="24"/>
        </w:rPr>
        <w:t xml:space="preserve"> reduce GHG emissions by </w:t>
      </w:r>
      <w:r w:rsidR="00E06D59">
        <w:rPr>
          <w:rFonts w:ascii="Times New Roman" w:hAnsi="Times New Roman" w:cs="Times New Roman"/>
          <w:sz w:val="24"/>
          <w:szCs w:val="24"/>
        </w:rPr>
        <w:t xml:space="preserve">about </w:t>
      </w:r>
      <w:r w:rsidRPr="00161276">
        <w:rPr>
          <w:rFonts w:ascii="Times New Roman" w:hAnsi="Times New Roman" w:cs="Times New Roman"/>
          <w:sz w:val="24"/>
          <w:szCs w:val="24"/>
        </w:rPr>
        <w:t>11%</w:t>
      </w:r>
      <w:r w:rsidR="00E06D59">
        <w:rPr>
          <w:rFonts w:ascii="Times New Roman" w:hAnsi="Times New Roman" w:cs="Times New Roman"/>
          <w:sz w:val="24"/>
          <w:szCs w:val="24"/>
        </w:rPr>
        <w:t xml:space="preserve"> when compared with diesel vehicles</w:t>
      </w:r>
      <w:r w:rsidR="00161276" w:rsidRPr="00161276">
        <w:rPr>
          <w:rFonts w:ascii="Times New Roman" w:hAnsi="Times New Roman" w:cs="Times New Roman"/>
          <w:sz w:val="24"/>
          <w:szCs w:val="24"/>
        </w:rPr>
        <w:t>.</w:t>
      </w:r>
    </w:p>
    <w:p w14:paraId="43E11147" w14:textId="3BEF04A0" w:rsidR="00161276" w:rsidRDefault="00983038" w:rsidP="00875AB0">
      <w:pPr>
        <w:pStyle w:val="ListParagraph"/>
        <w:numPr>
          <w:ilvl w:val="5"/>
          <w:numId w:val="15"/>
        </w:numPr>
        <w:tabs>
          <w:tab w:val="left" w:pos="3990"/>
        </w:tabs>
        <w:spacing w:line="240" w:lineRule="auto"/>
        <w:jc w:val="both"/>
        <w:rPr>
          <w:rFonts w:ascii="Times New Roman" w:hAnsi="Times New Roman" w:cs="Times New Roman"/>
          <w:sz w:val="24"/>
          <w:szCs w:val="24"/>
        </w:rPr>
      </w:pPr>
      <w:r w:rsidRPr="00161276">
        <w:rPr>
          <w:rFonts w:ascii="Times New Roman" w:hAnsi="Times New Roman" w:cs="Times New Roman"/>
          <w:sz w:val="24"/>
          <w:szCs w:val="24"/>
        </w:rPr>
        <w:t xml:space="preserve">Biofuels are </w:t>
      </w:r>
      <w:r w:rsidR="000E0AE7">
        <w:rPr>
          <w:rFonts w:ascii="Times New Roman" w:hAnsi="Times New Roman" w:cs="Times New Roman"/>
          <w:sz w:val="24"/>
          <w:szCs w:val="24"/>
        </w:rPr>
        <w:t xml:space="preserve">another </w:t>
      </w:r>
      <w:r w:rsidRPr="00161276">
        <w:rPr>
          <w:rFonts w:ascii="Times New Roman" w:hAnsi="Times New Roman" w:cs="Times New Roman"/>
          <w:sz w:val="24"/>
          <w:szCs w:val="24"/>
        </w:rPr>
        <w:t>alternative fuel which can be used to reduce GHG emissions. Biodiesel 20 (B20) blend can be used in any vehicle without engine modification which was manufactured either in 2001 or after that and B20 can reduce GHG emissions by 20%</w:t>
      </w:r>
      <w:r w:rsidR="001C69BB">
        <w:rPr>
          <w:rFonts w:ascii="Times New Roman" w:hAnsi="Times New Roman" w:cs="Times New Roman"/>
          <w:sz w:val="24"/>
          <w:szCs w:val="24"/>
        </w:rPr>
        <w:t xml:space="preserve"> when compared with conventional diesel vehicles</w:t>
      </w:r>
      <w:r w:rsidRPr="00161276">
        <w:rPr>
          <w:rFonts w:ascii="Times New Roman" w:hAnsi="Times New Roman" w:cs="Times New Roman"/>
          <w:sz w:val="24"/>
          <w:szCs w:val="24"/>
        </w:rPr>
        <w:t xml:space="preserve">. </w:t>
      </w:r>
    </w:p>
    <w:p w14:paraId="050F293B" w14:textId="6F774FE5" w:rsidR="00DD002A" w:rsidRDefault="00983038" w:rsidP="00875AB0">
      <w:pPr>
        <w:pStyle w:val="ListParagraph"/>
        <w:numPr>
          <w:ilvl w:val="5"/>
          <w:numId w:val="15"/>
        </w:numPr>
        <w:tabs>
          <w:tab w:val="left" w:pos="3990"/>
        </w:tabs>
        <w:spacing w:line="240" w:lineRule="auto"/>
        <w:jc w:val="both"/>
        <w:rPr>
          <w:rFonts w:ascii="Times New Roman" w:hAnsi="Times New Roman" w:cs="Times New Roman"/>
          <w:sz w:val="24"/>
          <w:szCs w:val="24"/>
        </w:rPr>
      </w:pPr>
      <w:r w:rsidRPr="00161276">
        <w:rPr>
          <w:rFonts w:ascii="Times New Roman" w:hAnsi="Times New Roman" w:cs="Times New Roman"/>
          <w:sz w:val="24"/>
          <w:szCs w:val="24"/>
        </w:rPr>
        <w:t xml:space="preserve">Ethanol 85 (E85) blend can reduce emissions by 34% </w:t>
      </w:r>
      <w:r w:rsidR="001C69BB">
        <w:rPr>
          <w:rFonts w:ascii="Times New Roman" w:hAnsi="Times New Roman" w:cs="Times New Roman"/>
          <w:sz w:val="24"/>
          <w:szCs w:val="24"/>
        </w:rPr>
        <w:t>compared to diesel vehicles</w:t>
      </w:r>
      <w:r w:rsidR="00613B7A">
        <w:rPr>
          <w:rFonts w:ascii="Times New Roman" w:hAnsi="Times New Roman" w:cs="Times New Roman"/>
          <w:sz w:val="24"/>
          <w:szCs w:val="24"/>
        </w:rPr>
        <w:t>,</w:t>
      </w:r>
      <w:r w:rsidR="001C69BB">
        <w:rPr>
          <w:rFonts w:ascii="Times New Roman" w:hAnsi="Times New Roman" w:cs="Times New Roman"/>
          <w:sz w:val="24"/>
          <w:szCs w:val="24"/>
        </w:rPr>
        <w:t xml:space="preserve"> </w:t>
      </w:r>
      <w:r w:rsidRPr="00161276">
        <w:rPr>
          <w:rFonts w:ascii="Times New Roman" w:hAnsi="Times New Roman" w:cs="Times New Roman"/>
          <w:sz w:val="24"/>
          <w:szCs w:val="24"/>
        </w:rPr>
        <w:t>but E85 blend cannot be used in conventional vehicles without engine modification</w:t>
      </w:r>
      <w:r w:rsidR="00E32575" w:rsidRPr="00161276">
        <w:rPr>
          <w:rFonts w:ascii="Times New Roman" w:hAnsi="Times New Roman" w:cs="Times New Roman"/>
          <w:sz w:val="24"/>
          <w:szCs w:val="24"/>
        </w:rPr>
        <w:t xml:space="preserve"> since </w:t>
      </w:r>
      <w:r w:rsidR="00636218" w:rsidRPr="00161276">
        <w:rPr>
          <w:rFonts w:ascii="Times New Roman" w:hAnsi="Times New Roman" w:cs="Times New Roman"/>
          <w:sz w:val="24"/>
          <w:szCs w:val="24"/>
        </w:rPr>
        <w:t>this fuel</w:t>
      </w:r>
      <w:r w:rsidR="00E32575" w:rsidRPr="00161276">
        <w:rPr>
          <w:rFonts w:ascii="Times New Roman" w:hAnsi="Times New Roman" w:cs="Times New Roman"/>
          <w:sz w:val="24"/>
          <w:szCs w:val="24"/>
        </w:rPr>
        <w:t xml:space="preserve"> can only be used in flexible fuel vehicles.</w:t>
      </w:r>
    </w:p>
    <w:p w14:paraId="25A05DE7" w14:textId="7900AB3E" w:rsidR="000370AD" w:rsidRPr="000370AD" w:rsidRDefault="000370AD" w:rsidP="00875AB0">
      <w:pPr>
        <w:pStyle w:val="ListParagraph"/>
        <w:numPr>
          <w:ilvl w:val="5"/>
          <w:numId w:val="15"/>
        </w:numPr>
        <w:tabs>
          <w:tab w:val="left" w:pos="3990"/>
        </w:tabs>
        <w:spacing w:line="240" w:lineRule="auto"/>
        <w:jc w:val="both"/>
        <w:rPr>
          <w:rFonts w:ascii="Times New Roman" w:hAnsi="Times New Roman" w:cs="Times New Roman"/>
          <w:sz w:val="24"/>
          <w:szCs w:val="24"/>
        </w:rPr>
      </w:pPr>
      <w:r>
        <w:rPr>
          <w:rFonts w:ascii="Times New Roman" w:hAnsi="Times New Roman" w:cs="Times New Roman"/>
          <w:sz w:val="24"/>
          <w:szCs w:val="24"/>
        </w:rPr>
        <w:t>An important thing to not</w:t>
      </w:r>
      <w:r w:rsidR="00613B7A">
        <w:rPr>
          <w:rFonts w:ascii="Times New Roman" w:hAnsi="Times New Roman" w:cs="Times New Roman"/>
          <w:sz w:val="24"/>
          <w:szCs w:val="24"/>
        </w:rPr>
        <w:t>e</w:t>
      </w:r>
      <w:r>
        <w:rPr>
          <w:rFonts w:ascii="Times New Roman" w:hAnsi="Times New Roman" w:cs="Times New Roman"/>
          <w:sz w:val="24"/>
          <w:szCs w:val="24"/>
        </w:rPr>
        <w:t xml:space="preserve"> is that t</w:t>
      </w:r>
      <w:r w:rsidRPr="000370AD">
        <w:rPr>
          <w:rFonts w:ascii="Times New Roman" w:hAnsi="Times New Roman" w:cs="Times New Roman"/>
          <w:sz w:val="24"/>
          <w:szCs w:val="24"/>
        </w:rPr>
        <w:t>hese fuels (natural gas, biodiesel, ethanol) can only be utilized successfully if there is an appropriate fill station available for the Town's use. These can be costly to install if needed</w:t>
      </w:r>
      <w:r w:rsidR="00875AB0">
        <w:rPr>
          <w:rFonts w:ascii="Times New Roman" w:hAnsi="Times New Roman" w:cs="Times New Roman"/>
          <w:sz w:val="24"/>
          <w:szCs w:val="24"/>
        </w:rPr>
        <w:t>.</w:t>
      </w:r>
    </w:p>
    <w:p w14:paraId="67890268" w14:textId="3401D57D" w:rsidR="2939FD44" w:rsidRPr="00875AB0" w:rsidRDefault="2939FD44" w:rsidP="00875AB0">
      <w:pPr>
        <w:pStyle w:val="ListParagraph"/>
        <w:numPr>
          <w:ilvl w:val="0"/>
          <w:numId w:val="11"/>
        </w:numPr>
        <w:tabs>
          <w:tab w:val="left" w:pos="3990"/>
        </w:tabs>
        <w:spacing w:line="240" w:lineRule="auto"/>
        <w:jc w:val="both"/>
        <w:rPr>
          <w:rFonts w:ascii="Times New Roman" w:hAnsi="Times New Roman" w:cs="Times New Roman"/>
          <w:sz w:val="24"/>
          <w:szCs w:val="24"/>
        </w:rPr>
      </w:pPr>
      <w:r w:rsidRPr="00875AB0">
        <w:rPr>
          <w:rFonts w:ascii="Times New Roman" w:hAnsi="Times New Roman" w:cs="Times New Roman"/>
          <w:sz w:val="24"/>
          <w:szCs w:val="24"/>
        </w:rPr>
        <w:t>Emissions from buildings and facilities can be reduced in the following ways:</w:t>
      </w:r>
    </w:p>
    <w:p w14:paraId="62E75CC6" w14:textId="1C099FC3" w:rsidR="00875AB0" w:rsidRPr="00875AB0" w:rsidRDefault="2939FD44" w:rsidP="00875AB0">
      <w:pPr>
        <w:pStyle w:val="ListParagraph"/>
        <w:numPr>
          <w:ilvl w:val="0"/>
          <w:numId w:val="18"/>
        </w:numPr>
        <w:tabs>
          <w:tab w:val="left" w:pos="3990"/>
        </w:tabs>
        <w:spacing w:line="240" w:lineRule="auto"/>
        <w:jc w:val="both"/>
        <w:rPr>
          <w:sz w:val="24"/>
          <w:szCs w:val="24"/>
        </w:rPr>
      </w:pPr>
      <w:r w:rsidRPr="00875AB0">
        <w:rPr>
          <w:rFonts w:ascii="Times New Roman" w:hAnsi="Times New Roman" w:cs="Times New Roman"/>
          <w:sz w:val="24"/>
          <w:szCs w:val="24"/>
        </w:rPr>
        <w:t>Contracting energy audits of buildings to ascertain energy saving areas.</w:t>
      </w:r>
      <w:r w:rsidR="00875AB0" w:rsidRPr="00875AB0">
        <w:rPr>
          <w:sz w:val="24"/>
          <w:szCs w:val="24"/>
        </w:rPr>
        <w:t xml:space="preserve"> </w:t>
      </w:r>
    </w:p>
    <w:p w14:paraId="67DBF6F9" w14:textId="6C0290D0" w:rsidR="00875AB0" w:rsidRPr="00875AB0" w:rsidRDefault="2939FD44" w:rsidP="00875AB0">
      <w:pPr>
        <w:pStyle w:val="ListParagraph"/>
        <w:numPr>
          <w:ilvl w:val="0"/>
          <w:numId w:val="18"/>
        </w:numPr>
        <w:tabs>
          <w:tab w:val="left" w:pos="3990"/>
        </w:tabs>
        <w:spacing w:line="240" w:lineRule="auto"/>
        <w:jc w:val="both"/>
        <w:rPr>
          <w:sz w:val="24"/>
          <w:szCs w:val="24"/>
        </w:rPr>
      </w:pPr>
      <w:r w:rsidRPr="00875AB0">
        <w:rPr>
          <w:rFonts w:ascii="Times New Roman" w:hAnsi="Times New Roman" w:cs="Times New Roman"/>
          <w:sz w:val="24"/>
          <w:szCs w:val="24"/>
        </w:rPr>
        <w:t>Invest in modern insulation, increasing efficiency in heating.</w:t>
      </w:r>
      <w:r w:rsidR="00875AB0" w:rsidRPr="00875AB0">
        <w:rPr>
          <w:sz w:val="24"/>
          <w:szCs w:val="24"/>
        </w:rPr>
        <w:t xml:space="preserve"> </w:t>
      </w:r>
    </w:p>
    <w:p w14:paraId="493C9E62" w14:textId="2F305350" w:rsidR="008F3B8E" w:rsidRPr="008F3B8E" w:rsidRDefault="2939FD44" w:rsidP="008F3B8E">
      <w:pPr>
        <w:pStyle w:val="ListParagraph"/>
        <w:numPr>
          <w:ilvl w:val="0"/>
          <w:numId w:val="18"/>
        </w:numPr>
        <w:tabs>
          <w:tab w:val="left" w:pos="3990"/>
        </w:tabs>
        <w:spacing w:line="240" w:lineRule="auto"/>
        <w:jc w:val="both"/>
        <w:rPr>
          <w:rFonts w:ascii="Times New Roman" w:hAnsi="Times New Roman" w:cs="Times New Roman"/>
          <w:sz w:val="24"/>
          <w:szCs w:val="24"/>
        </w:rPr>
      </w:pPr>
      <w:r w:rsidRPr="00875AB0">
        <w:rPr>
          <w:rFonts w:ascii="Times New Roman" w:hAnsi="Times New Roman" w:cs="Times New Roman"/>
          <w:sz w:val="24"/>
          <w:szCs w:val="24"/>
        </w:rPr>
        <w:t>Invest in modern, energy efficient windows to increase heating and coolin</w:t>
      </w:r>
      <w:r w:rsidR="00875AB0" w:rsidRPr="00875AB0">
        <w:rPr>
          <w:rFonts w:ascii="Times New Roman" w:hAnsi="Times New Roman" w:cs="Times New Roman"/>
          <w:sz w:val="24"/>
          <w:szCs w:val="24"/>
        </w:rPr>
        <w:t xml:space="preserve">g </w:t>
      </w:r>
      <w:r w:rsidRPr="00875AB0">
        <w:rPr>
          <w:rFonts w:ascii="Times New Roman" w:hAnsi="Times New Roman" w:cs="Times New Roman"/>
          <w:sz w:val="24"/>
          <w:szCs w:val="24"/>
        </w:rPr>
        <w:t xml:space="preserve">efficiency. </w:t>
      </w:r>
    </w:p>
    <w:p w14:paraId="1538719F" w14:textId="6BF8E207" w:rsidR="008F3B8E" w:rsidRPr="008F3B8E" w:rsidRDefault="008F3B8E" w:rsidP="008F3B8E">
      <w:pPr>
        <w:tabs>
          <w:tab w:val="left" w:pos="3990"/>
        </w:tabs>
        <w:spacing w:line="240" w:lineRule="auto"/>
        <w:jc w:val="both"/>
        <w:rPr>
          <w:rFonts w:ascii="Times New Roman" w:hAnsi="Times New Roman" w:cs="Times New Roman"/>
          <w:sz w:val="24"/>
          <w:szCs w:val="24"/>
        </w:rPr>
      </w:pPr>
      <w:r>
        <w:rPr>
          <w:rFonts w:ascii="Times New Roman" w:hAnsi="Times New Roman" w:cs="Times New Roman"/>
          <w:sz w:val="24"/>
          <w:szCs w:val="24"/>
        </w:rPr>
        <w:t>These and other emissions reduction strategies can be discussed further in a municipal operations Climate Action Plan.</w:t>
      </w:r>
    </w:p>
    <w:p w14:paraId="02D3E141" w14:textId="554DBB6C" w:rsidR="004609AA" w:rsidRPr="00903D90" w:rsidRDefault="00F97162" w:rsidP="004F3BDE">
      <w:pPr>
        <w:pStyle w:val="Heading1"/>
        <w:spacing w:line="240" w:lineRule="auto"/>
        <w:jc w:val="both"/>
        <w:rPr>
          <w:rFonts w:ascii="Times New Roman" w:hAnsi="Times New Roman" w:cs="Times New Roman"/>
          <w:b/>
          <w:bCs/>
          <w:color w:val="385623" w:themeColor="accent6" w:themeShade="80"/>
        </w:rPr>
      </w:pPr>
      <w:bookmarkStart w:id="13" w:name="_Toc71547931"/>
      <w:r w:rsidRPr="00903D90">
        <w:rPr>
          <w:rFonts w:ascii="Times New Roman" w:hAnsi="Times New Roman" w:cs="Times New Roman"/>
          <w:b/>
          <w:bCs/>
          <w:color w:val="385623" w:themeColor="accent6" w:themeShade="80"/>
        </w:rPr>
        <w:t>Conclusion</w:t>
      </w:r>
      <w:bookmarkEnd w:id="13"/>
    </w:p>
    <w:p w14:paraId="67CF0E6B" w14:textId="3723B28C" w:rsidR="00226936" w:rsidRPr="00FE1837" w:rsidRDefault="00FE1837" w:rsidP="00226936">
      <w:pPr>
        <w:tabs>
          <w:tab w:val="left" w:pos="399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 found that total emissions of Manlius Town for 2019 year from three sectors studied in this project are </w:t>
      </w:r>
      <w:r w:rsidR="00C668E2">
        <w:rPr>
          <w:rFonts w:ascii="Times New Roman" w:hAnsi="Times New Roman" w:cs="Times New Roman"/>
          <w:sz w:val="24"/>
          <w:szCs w:val="24"/>
        </w:rPr>
        <w:t>914.09</w:t>
      </w:r>
      <w:r>
        <w:rPr>
          <w:rFonts w:ascii="Times New Roman" w:hAnsi="Times New Roman" w:cs="Times New Roman"/>
          <w:sz w:val="24"/>
          <w:szCs w:val="24"/>
        </w:rPr>
        <w:t xml:space="preserve"> </w:t>
      </w:r>
      <w:r w:rsidR="00AF7F1E">
        <w:rPr>
          <w:rFonts w:ascii="Times New Roman" w:eastAsia="Times New Roman" w:hAnsi="Times New Roman" w:cs="Times New Roman"/>
          <w:sz w:val="24"/>
          <w:szCs w:val="24"/>
        </w:rPr>
        <w:t>MTCO</w:t>
      </w:r>
      <w:r w:rsidR="00AF7F1E" w:rsidRPr="00AF7F1E">
        <w:rPr>
          <w:rFonts w:ascii="Times New Roman" w:eastAsia="Times New Roman" w:hAnsi="Times New Roman" w:cs="Times New Roman"/>
          <w:sz w:val="24"/>
          <w:szCs w:val="24"/>
          <w:vertAlign w:val="subscript"/>
        </w:rPr>
        <w:t>2</w:t>
      </w:r>
      <w:r w:rsidR="00AF7F1E">
        <w:rPr>
          <w:rFonts w:ascii="Times New Roman" w:eastAsia="Times New Roman" w:hAnsi="Times New Roman" w:cs="Times New Roman"/>
          <w:sz w:val="24"/>
          <w:szCs w:val="24"/>
        </w:rPr>
        <w:t>e</w:t>
      </w:r>
      <w:r>
        <w:rPr>
          <w:rFonts w:ascii="Times New Roman" w:hAnsi="Times New Roman" w:cs="Times New Roman"/>
          <w:sz w:val="24"/>
          <w:szCs w:val="24"/>
          <w:vertAlign w:val="subscript"/>
        </w:rPr>
        <w:t xml:space="preserve"> </w:t>
      </w:r>
      <w:r>
        <w:rPr>
          <w:rFonts w:ascii="Times New Roman" w:hAnsi="Times New Roman" w:cs="Times New Roman"/>
          <w:sz w:val="24"/>
          <w:szCs w:val="24"/>
        </w:rPr>
        <w:t>and emissions from each sector buildings and facilities, streetlights,</w:t>
      </w:r>
      <w:r w:rsidR="00A22E88">
        <w:rPr>
          <w:rFonts w:ascii="Times New Roman" w:hAnsi="Times New Roman" w:cs="Times New Roman"/>
          <w:sz w:val="24"/>
          <w:szCs w:val="24"/>
        </w:rPr>
        <w:t xml:space="preserve"> </w:t>
      </w:r>
      <w:r>
        <w:rPr>
          <w:rFonts w:ascii="Times New Roman" w:hAnsi="Times New Roman" w:cs="Times New Roman"/>
          <w:sz w:val="24"/>
          <w:szCs w:val="24"/>
        </w:rPr>
        <w:t xml:space="preserve">vehicle fleet are </w:t>
      </w:r>
      <w:r w:rsidR="00C668E2">
        <w:rPr>
          <w:rFonts w:ascii="Times New Roman" w:hAnsi="Times New Roman" w:cs="Times New Roman"/>
          <w:sz w:val="24"/>
          <w:szCs w:val="24"/>
        </w:rPr>
        <w:t>124.85</w:t>
      </w:r>
      <w:r>
        <w:rPr>
          <w:rFonts w:ascii="Times New Roman" w:hAnsi="Times New Roman" w:cs="Times New Roman"/>
          <w:sz w:val="24"/>
          <w:szCs w:val="24"/>
        </w:rPr>
        <w:t xml:space="preserve"> </w:t>
      </w:r>
      <w:r w:rsidR="00AF7F1E">
        <w:rPr>
          <w:rFonts w:ascii="Times New Roman" w:eastAsia="Times New Roman" w:hAnsi="Times New Roman" w:cs="Times New Roman"/>
          <w:sz w:val="24"/>
          <w:szCs w:val="24"/>
        </w:rPr>
        <w:t>MTCO</w:t>
      </w:r>
      <w:r w:rsidR="00AF7F1E" w:rsidRPr="00AF7F1E">
        <w:rPr>
          <w:rFonts w:ascii="Times New Roman" w:eastAsia="Times New Roman" w:hAnsi="Times New Roman" w:cs="Times New Roman"/>
          <w:sz w:val="24"/>
          <w:szCs w:val="24"/>
          <w:vertAlign w:val="subscript"/>
        </w:rPr>
        <w:t>2</w:t>
      </w:r>
      <w:r w:rsidR="00AF7F1E">
        <w:rPr>
          <w:rFonts w:ascii="Times New Roman" w:eastAsia="Times New Roman" w:hAnsi="Times New Roman" w:cs="Times New Roman"/>
          <w:sz w:val="24"/>
          <w:szCs w:val="24"/>
        </w:rPr>
        <w:t>e</w:t>
      </w:r>
      <w:r>
        <w:rPr>
          <w:rFonts w:ascii="Times New Roman" w:hAnsi="Times New Roman" w:cs="Times New Roman"/>
          <w:sz w:val="24"/>
          <w:szCs w:val="24"/>
        </w:rPr>
        <w:t xml:space="preserve">, 18.49 </w:t>
      </w:r>
      <w:r w:rsidR="00AF7F1E">
        <w:rPr>
          <w:rFonts w:ascii="Times New Roman" w:eastAsia="Times New Roman" w:hAnsi="Times New Roman" w:cs="Times New Roman"/>
          <w:sz w:val="24"/>
          <w:szCs w:val="24"/>
        </w:rPr>
        <w:t>MTCO</w:t>
      </w:r>
      <w:r w:rsidR="00AF7F1E" w:rsidRPr="00AF7F1E">
        <w:rPr>
          <w:rFonts w:ascii="Times New Roman" w:eastAsia="Times New Roman" w:hAnsi="Times New Roman" w:cs="Times New Roman"/>
          <w:sz w:val="24"/>
          <w:szCs w:val="24"/>
          <w:vertAlign w:val="subscript"/>
        </w:rPr>
        <w:t>2</w:t>
      </w:r>
      <w:r w:rsidR="00AF7F1E">
        <w:rPr>
          <w:rFonts w:ascii="Times New Roman" w:eastAsia="Times New Roman" w:hAnsi="Times New Roman" w:cs="Times New Roman"/>
          <w:sz w:val="24"/>
          <w:szCs w:val="24"/>
        </w:rPr>
        <w:t>e</w:t>
      </w:r>
      <w:r>
        <w:rPr>
          <w:rFonts w:ascii="Times New Roman" w:hAnsi="Times New Roman" w:cs="Times New Roman"/>
          <w:sz w:val="24"/>
          <w:szCs w:val="24"/>
        </w:rPr>
        <w:t xml:space="preserve">, 770.75 </w:t>
      </w:r>
      <w:r w:rsidR="00AF7F1E">
        <w:rPr>
          <w:rFonts w:ascii="Times New Roman" w:eastAsia="Times New Roman" w:hAnsi="Times New Roman" w:cs="Times New Roman"/>
          <w:sz w:val="24"/>
          <w:szCs w:val="24"/>
        </w:rPr>
        <w:t>MTCO</w:t>
      </w:r>
      <w:r w:rsidR="00AF7F1E" w:rsidRPr="00AF7F1E">
        <w:rPr>
          <w:rFonts w:ascii="Times New Roman" w:eastAsia="Times New Roman" w:hAnsi="Times New Roman" w:cs="Times New Roman"/>
          <w:sz w:val="24"/>
          <w:szCs w:val="24"/>
          <w:vertAlign w:val="subscript"/>
        </w:rPr>
        <w:t>2</w:t>
      </w:r>
      <w:r w:rsidR="00AF7F1E">
        <w:rPr>
          <w:rFonts w:ascii="Times New Roman" w:eastAsia="Times New Roman" w:hAnsi="Times New Roman" w:cs="Times New Roman"/>
          <w:sz w:val="24"/>
          <w:szCs w:val="24"/>
        </w:rPr>
        <w:t>e</w:t>
      </w:r>
      <w:r>
        <w:rPr>
          <w:rFonts w:ascii="Times New Roman" w:hAnsi="Times New Roman" w:cs="Times New Roman"/>
          <w:sz w:val="24"/>
          <w:szCs w:val="24"/>
        </w:rPr>
        <w:t>, respectively</w:t>
      </w:r>
      <w:r w:rsidR="007330EC">
        <w:rPr>
          <w:rFonts w:ascii="Times New Roman" w:hAnsi="Times New Roman" w:cs="Times New Roman"/>
          <w:sz w:val="24"/>
          <w:szCs w:val="24"/>
        </w:rPr>
        <w:t xml:space="preserve">. </w:t>
      </w:r>
      <w:r w:rsidR="00A22E88">
        <w:rPr>
          <w:rFonts w:ascii="Times New Roman" w:hAnsi="Times New Roman" w:cs="Times New Roman"/>
          <w:sz w:val="24"/>
          <w:szCs w:val="24"/>
        </w:rPr>
        <w:t>Vehicle fleet, buildings and facilities,</w:t>
      </w:r>
      <w:r w:rsidR="005E314C">
        <w:rPr>
          <w:rFonts w:ascii="Times New Roman" w:hAnsi="Times New Roman" w:cs="Times New Roman"/>
          <w:sz w:val="24"/>
          <w:szCs w:val="24"/>
        </w:rPr>
        <w:t xml:space="preserve"> </w:t>
      </w:r>
      <w:r w:rsidR="00A22E88">
        <w:rPr>
          <w:rFonts w:ascii="Times New Roman" w:hAnsi="Times New Roman" w:cs="Times New Roman"/>
          <w:sz w:val="24"/>
          <w:szCs w:val="24"/>
        </w:rPr>
        <w:t>streetlights contribute 8</w:t>
      </w:r>
      <w:r w:rsidR="00C668E2">
        <w:rPr>
          <w:rFonts w:ascii="Times New Roman" w:hAnsi="Times New Roman" w:cs="Times New Roman"/>
          <w:sz w:val="24"/>
          <w:szCs w:val="24"/>
        </w:rPr>
        <w:t>4</w:t>
      </w:r>
      <w:r w:rsidR="00A22E88">
        <w:rPr>
          <w:rFonts w:ascii="Times New Roman" w:hAnsi="Times New Roman" w:cs="Times New Roman"/>
          <w:sz w:val="24"/>
          <w:szCs w:val="24"/>
        </w:rPr>
        <w:t>%, 1</w:t>
      </w:r>
      <w:r w:rsidR="00C668E2">
        <w:rPr>
          <w:rFonts w:ascii="Times New Roman" w:hAnsi="Times New Roman" w:cs="Times New Roman"/>
          <w:sz w:val="24"/>
          <w:szCs w:val="24"/>
        </w:rPr>
        <w:t>4</w:t>
      </w:r>
      <w:r w:rsidR="00A22E88">
        <w:rPr>
          <w:rFonts w:ascii="Times New Roman" w:hAnsi="Times New Roman" w:cs="Times New Roman"/>
          <w:sz w:val="24"/>
          <w:szCs w:val="24"/>
        </w:rPr>
        <w:t>%, 2%, respectively</w:t>
      </w:r>
      <w:r w:rsidR="005E314C">
        <w:rPr>
          <w:rFonts w:ascii="Times New Roman" w:hAnsi="Times New Roman" w:cs="Times New Roman"/>
          <w:sz w:val="24"/>
          <w:szCs w:val="24"/>
        </w:rPr>
        <w:t xml:space="preserve"> to total emissions of Manlius Town for 2019 year. </w:t>
      </w:r>
      <w:r w:rsidR="00FC4DA9">
        <w:rPr>
          <w:rFonts w:ascii="Times New Roman" w:hAnsi="Times New Roman" w:cs="Times New Roman"/>
          <w:sz w:val="24"/>
          <w:szCs w:val="24"/>
        </w:rPr>
        <w:t>The use of electric vehicles, natural gas vehicles</w:t>
      </w:r>
      <w:r w:rsidR="00221D3A">
        <w:rPr>
          <w:rFonts w:ascii="Times New Roman" w:hAnsi="Times New Roman" w:cs="Times New Roman"/>
          <w:sz w:val="24"/>
          <w:szCs w:val="24"/>
        </w:rPr>
        <w:t>,</w:t>
      </w:r>
      <w:r w:rsidR="00FC4DA9">
        <w:rPr>
          <w:rFonts w:ascii="Times New Roman" w:hAnsi="Times New Roman" w:cs="Times New Roman"/>
          <w:sz w:val="24"/>
          <w:szCs w:val="24"/>
        </w:rPr>
        <w:t xml:space="preserve"> </w:t>
      </w:r>
      <w:r w:rsidR="00221D3A">
        <w:rPr>
          <w:rFonts w:ascii="Times New Roman" w:hAnsi="Times New Roman" w:cs="Times New Roman"/>
          <w:sz w:val="24"/>
          <w:szCs w:val="24"/>
        </w:rPr>
        <w:t xml:space="preserve">and/or </w:t>
      </w:r>
      <w:r w:rsidR="00FC4DA9">
        <w:rPr>
          <w:rFonts w:ascii="Times New Roman" w:hAnsi="Times New Roman" w:cs="Times New Roman"/>
          <w:sz w:val="24"/>
          <w:szCs w:val="24"/>
        </w:rPr>
        <w:t xml:space="preserve">biofuels </w:t>
      </w:r>
      <w:r w:rsidR="00221D3A">
        <w:rPr>
          <w:rFonts w:ascii="Times New Roman" w:hAnsi="Times New Roman" w:cs="Times New Roman"/>
          <w:sz w:val="24"/>
          <w:szCs w:val="24"/>
        </w:rPr>
        <w:t>could</w:t>
      </w:r>
      <w:r w:rsidR="00FC4DA9">
        <w:rPr>
          <w:rFonts w:ascii="Times New Roman" w:hAnsi="Times New Roman" w:cs="Times New Roman"/>
          <w:sz w:val="24"/>
          <w:szCs w:val="24"/>
        </w:rPr>
        <w:t xml:space="preserve"> reduce GHG emissions from vehicle fleet. </w:t>
      </w:r>
      <w:r w:rsidR="00226936">
        <w:rPr>
          <w:rFonts w:ascii="Times New Roman" w:hAnsi="Times New Roman" w:cs="Times New Roman"/>
          <w:sz w:val="24"/>
          <w:szCs w:val="24"/>
        </w:rPr>
        <w:t>The use of energy efficient windows, upgrading insulation, and periodic energy audits could reduce GHG emissions from buildings and facilities. The emissions from streetlights are very low because streetlights are already upgraded, but proper maintenance of these streetlights is needed to keep emissions low.</w:t>
      </w:r>
    </w:p>
    <w:p w14:paraId="221BF0E2" w14:textId="0D690228" w:rsidR="00F67BC0" w:rsidRPr="00FE1837" w:rsidRDefault="00F67BC0" w:rsidP="004F3BDE">
      <w:pPr>
        <w:tabs>
          <w:tab w:val="left" w:pos="3990"/>
        </w:tabs>
        <w:spacing w:line="240" w:lineRule="auto"/>
        <w:jc w:val="both"/>
        <w:rPr>
          <w:rFonts w:ascii="Times New Roman" w:hAnsi="Times New Roman" w:cs="Times New Roman"/>
          <w:sz w:val="24"/>
          <w:szCs w:val="24"/>
        </w:rPr>
      </w:pPr>
    </w:p>
    <w:p w14:paraId="6A660567" w14:textId="77777777" w:rsidR="004609AA" w:rsidRDefault="004609AA" w:rsidP="001636BB">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A67ADA7" w14:textId="7E8A5E07" w:rsidR="00F97162" w:rsidRDefault="004609AA" w:rsidP="001636BB">
      <w:pPr>
        <w:pStyle w:val="Heading1"/>
        <w:spacing w:line="240" w:lineRule="auto"/>
        <w:rPr>
          <w:rFonts w:ascii="Times New Roman" w:hAnsi="Times New Roman" w:cs="Times New Roman"/>
          <w:b/>
          <w:bCs/>
          <w:color w:val="385623" w:themeColor="accent6" w:themeShade="80"/>
        </w:rPr>
      </w:pPr>
      <w:r w:rsidRPr="00903D90">
        <w:rPr>
          <w:rFonts w:ascii="Times New Roman" w:hAnsi="Times New Roman" w:cs="Times New Roman"/>
          <w:b/>
          <w:bCs/>
          <w:color w:val="385623" w:themeColor="accent6" w:themeShade="80"/>
        </w:rPr>
        <w:lastRenderedPageBreak/>
        <w:t>References</w:t>
      </w:r>
    </w:p>
    <w:p w14:paraId="1D462077" w14:textId="77777777" w:rsidR="00341930" w:rsidRPr="00341930" w:rsidRDefault="00341930" w:rsidP="00341930"/>
    <w:p w14:paraId="577EE284" w14:textId="45C4B68C" w:rsidR="004609AA" w:rsidRPr="004609AA" w:rsidRDefault="004609AA" w:rsidP="001636BB">
      <w:pPr>
        <w:spacing w:line="240" w:lineRule="auto"/>
        <w:rPr>
          <w:rFonts w:ascii="Times New Roman" w:hAnsi="Times New Roman" w:cs="Times New Roman"/>
          <w:sz w:val="24"/>
          <w:szCs w:val="24"/>
        </w:rPr>
      </w:pPr>
      <w:r w:rsidRPr="004609AA">
        <w:rPr>
          <w:rFonts w:ascii="Times New Roman" w:hAnsi="Times New Roman" w:cs="Times New Roman"/>
          <w:sz w:val="24"/>
          <w:szCs w:val="24"/>
        </w:rPr>
        <w:t>The Fifth Assessment Report of Intergovernmental Panel on Climate Change, 2014</w:t>
      </w:r>
      <w:r w:rsidR="00102F28">
        <w:rPr>
          <w:rFonts w:ascii="Times New Roman" w:hAnsi="Times New Roman" w:cs="Times New Roman"/>
          <w:sz w:val="24"/>
          <w:szCs w:val="24"/>
        </w:rPr>
        <w:t>.</w:t>
      </w:r>
      <w:r w:rsidRPr="004609AA">
        <w:rPr>
          <w:rFonts w:ascii="Times New Roman" w:hAnsi="Times New Roman" w:cs="Times New Roman"/>
          <w:sz w:val="24"/>
          <w:szCs w:val="24"/>
        </w:rPr>
        <w:t xml:space="preserve"> Retrieved from: </w:t>
      </w:r>
      <w:proofErr w:type="gramStart"/>
      <w:r w:rsidRPr="004609AA">
        <w:rPr>
          <w:rFonts w:ascii="Times New Roman" w:hAnsi="Times New Roman" w:cs="Times New Roman"/>
          <w:sz w:val="24"/>
          <w:szCs w:val="24"/>
        </w:rPr>
        <w:t>https://www.ipcc.ch/site/assets/uploads/2018/02/SYR_AR5_FINAL_full.pdf</w:t>
      </w:r>
      <w:proofErr w:type="gramEnd"/>
    </w:p>
    <w:p w14:paraId="0D64C703" w14:textId="03F5C2C3" w:rsidR="004609AA" w:rsidRDefault="004609AA" w:rsidP="001636BB">
      <w:pPr>
        <w:spacing w:line="240" w:lineRule="auto"/>
        <w:rPr>
          <w:rFonts w:ascii="Times New Roman" w:hAnsi="Times New Roman" w:cs="Times New Roman"/>
          <w:sz w:val="24"/>
          <w:szCs w:val="24"/>
        </w:rPr>
      </w:pPr>
      <w:r w:rsidRPr="004609AA">
        <w:rPr>
          <w:rFonts w:ascii="Times New Roman" w:hAnsi="Times New Roman" w:cs="Times New Roman"/>
          <w:sz w:val="24"/>
          <w:szCs w:val="24"/>
        </w:rPr>
        <w:t xml:space="preserve">Pathways to Deep Decarbonization in New York State report, 2020. Retrieved from: </w:t>
      </w:r>
      <w:proofErr w:type="gramStart"/>
      <w:r w:rsidR="00C47C32" w:rsidRPr="00C47C32">
        <w:rPr>
          <w:rFonts w:ascii="Times New Roman" w:hAnsi="Times New Roman" w:cs="Times New Roman"/>
          <w:sz w:val="24"/>
          <w:szCs w:val="24"/>
        </w:rPr>
        <w:t>https://climate.ny.gov/-/media/CLCPA/Files/2020-06-24-NYS-Decarbonization-Pathways-Report.pdf</w:t>
      </w:r>
      <w:proofErr w:type="gramEnd"/>
    </w:p>
    <w:p w14:paraId="0C9662A8" w14:textId="01B9D29B" w:rsidR="00E74F1B" w:rsidRPr="00E74F1B" w:rsidRDefault="00C747FE" w:rsidP="001636BB">
      <w:pPr>
        <w:spacing w:line="240" w:lineRule="auto"/>
        <w:rPr>
          <w:rFonts w:ascii="Times New Roman" w:hAnsi="Times New Roman" w:cs="Times New Roman"/>
          <w:sz w:val="24"/>
          <w:szCs w:val="24"/>
        </w:rPr>
      </w:pPr>
      <w:r w:rsidRPr="00C747FE">
        <w:rPr>
          <w:rFonts w:ascii="Times New Roman" w:hAnsi="Times New Roman" w:cs="Times New Roman"/>
          <w:sz w:val="24"/>
          <w:szCs w:val="24"/>
        </w:rPr>
        <w:t>ICLEI Local Governments Operation Protocol</w:t>
      </w:r>
      <w:r>
        <w:rPr>
          <w:rFonts w:ascii="Times New Roman" w:hAnsi="Times New Roman" w:cs="Times New Roman"/>
          <w:sz w:val="24"/>
          <w:szCs w:val="24"/>
        </w:rPr>
        <w:t xml:space="preserve">. Retrieved from: </w:t>
      </w:r>
      <w:proofErr w:type="gramStart"/>
      <w:r w:rsidR="00E74F1B" w:rsidRPr="00E74F1B">
        <w:rPr>
          <w:rFonts w:ascii="Times New Roman" w:hAnsi="Times New Roman" w:cs="Times New Roman"/>
          <w:sz w:val="24"/>
          <w:szCs w:val="24"/>
        </w:rPr>
        <w:t>https://villedurabledotorg.files.wordpress.com/2012/12/iclei_us_community_protocol_v1_oct_2012.pdf</w:t>
      </w:r>
      <w:proofErr w:type="gramEnd"/>
    </w:p>
    <w:p w14:paraId="00536C33" w14:textId="65506C76" w:rsidR="00E74F1B" w:rsidRPr="00E74F1B" w:rsidRDefault="00C747FE" w:rsidP="001636BB">
      <w:pPr>
        <w:spacing w:line="240" w:lineRule="auto"/>
        <w:rPr>
          <w:rFonts w:ascii="Times New Roman" w:hAnsi="Times New Roman" w:cs="Times New Roman"/>
          <w:sz w:val="24"/>
          <w:szCs w:val="24"/>
        </w:rPr>
      </w:pPr>
      <w:r w:rsidRPr="00C747FE">
        <w:rPr>
          <w:rFonts w:ascii="Times New Roman" w:hAnsi="Times New Roman" w:cs="Times New Roman"/>
          <w:sz w:val="24"/>
          <w:szCs w:val="24"/>
        </w:rPr>
        <w:t>United States EPA Inventory Tool</w:t>
      </w:r>
      <w:r>
        <w:rPr>
          <w:rFonts w:ascii="Times New Roman" w:hAnsi="Times New Roman" w:cs="Times New Roman"/>
          <w:sz w:val="24"/>
          <w:szCs w:val="24"/>
        </w:rPr>
        <w:t xml:space="preserve">. Retrieved from: </w:t>
      </w:r>
      <w:proofErr w:type="gramStart"/>
      <w:r w:rsidR="00E74F1B" w:rsidRPr="00E74F1B">
        <w:rPr>
          <w:rFonts w:ascii="Times New Roman" w:hAnsi="Times New Roman" w:cs="Times New Roman"/>
          <w:sz w:val="24"/>
          <w:szCs w:val="24"/>
        </w:rPr>
        <w:t>https://www.epa.gov/statelocalenergy/local-greenhouse-gas-inventory-tool</w:t>
      </w:r>
      <w:proofErr w:type="gramEnd"/>
    </w:p>
    <w:p w14:paraId="1B6A979A" w14:textId="075BAC01" w:rsidR="00E74F1B" w:rsidRPr="00E74F1B" w:rsidRDefault="00C747FE" w:rsidP="001636BB">
      <w:pPr>
        <w:spacing w:line="240" w:lineRule="auto"/>
        <w:rPr>
          <w:rFonts w:ascii="Times New Roman" w:hAnsi="Times New Roman" w:cs="Times New Roman"/>
          <w:sz w:val="24"/>
          <w:szCs w:val="24"/>
        </w:rPr>
      </w:pPr>
      <w:r w:rsidRPr="00C747FE">
        <w:rPr>
          <w:rFonts w:ascii="Times New Roman" w:hAnsi="Times New Roman" w:cs="Times New Roman"/>
          <w:sz w:val="24"/>
          <w:szCs w:val="24"/>
        </w:rPr>
        <w:t>Climate Smart Community Certification Program</w:t>
      </w:r>
      <w:r>
        <w:rPr>
          <w:rFonts w:ascii="Times New Roman" w:hAnsi="Times New Roman" w:cs="Times New Roman"/>
          <w:sz w:val="24"/>
          <w:szCs w:val="24"/>
        </w:rPr>
        <w:t xml:space="preserve">. Retrieved from: </w:t>
      </w:r>
      <w:proofErr w:type="gramStart"/>
      <w:r w:rsidR="00E74F1B" w:rsidRPr="00E74F1B">
        <w:rPr>
          <w:rFonts w:ascii="Times New Roman" w:hAnsi="Times New Roman" w:cs="Times New Roman"/>
          <w:sz w:val="24"/>
          <w:szCs w:val="24"/>
        </w:rPr>
        <w:t>https://climatesmart.ny.gov/</w:t>
      </w:r>
      <w:proofErr w:type="gramEnd"/>
    </w:p>
    <w:p w14:paraId="6346B5D4" w14:textId="7A867023" w:rsidR="00E74F1B" w:rsidRDefault="00C747FE" w:rsidP="001636BB">
      <w:pPr>
        <w:spacing w:line="240" w:lineRule="auto"/>
        <w:rPr>
          <w:rFonts w:ascii="Times New Roman" w:hAnsi="Times New Roman" w:cs="Times New Roman"/>
          <w:sz w:val="24"/>
          <w:szCs w:val="24"/>
        </w:rPr>
      </w:pPr>
      <w:r>
        <w:rPr>
          <w:rFonts w:ascii="Times New Roman" w:hAnsi="Times New Roman" w:cs="Times New Roman"/>
          <w:sz w:val="24"/>
          <w:szCs w:val="24"/>
        </w:rPr>
        <w:t>Climate Change effects on New York State</w:t>
      </w:r>
      <w:r w:rsidR="0026124A">
        <w:rPr>
          <w:rFonts w:ascii="Times New Roman" w:hAnsi="Times New Roman" w:cs="Times New Roman"/>
          <w:sz w:val="24"/>
          <w:szCs w:val="24"/>
        </w:rPr>
        <w:t>.</w:t>
      </w:r>
      <w:r>
        <w:rPr>
          <w:rFonts w:ascii="Times New Roman" w:hAnsi="Times New Roman" w:cs="Times New Roman"/>
          <w:sz w:val="24"/>
          <w:szCs w:val="24"/>
        </w:rPr>
        <w:t xml:space="preserve"> Retrieved from: </w:t>
      </w:r>
      <w:proofErr w:type="gramStart"/>
      <w:r w:rsidR="006D48EA" w:rsidRPr="006D48EA">
        <w:rPr>
          <w:rFonts w:ascii="Times New Roman" w:hAnsi="Times New Roman" w:cs="Times New Roman"/>
          <w:sz w:val="24"/>
          <w:szCs w:val="24"/>
        </w:rPr>
        <w:t>https://www.dec.ny.gov/energy/94702</w:t>
      </w:r>
      <w:proofErr w:type="gramEnd"/>
      <w:r w:rsidR="00C11D9A">
        <w:rPr>
          <w:rFonts w:ascii="Times New Roman" w:hAnsi="Times New Roman" w:cs="Times New Roman"/>
          <w:sz w:val="24"/>
          <w:szCs w:val="24"/>
        </w:rPr>
        <w:t xml:space="preserve"> </w:t>
      </w:r>
    </w:p>
    <w:p w14:paraId="7E466F0C" w14:textId="2AC35DF6" w:rsidR="006D48EA" w:rsidRDefault="006D48EA" w:rsidP="001636BB">
      <w:pPr>
        <w:spacing w:line="240" w:lineRule="auto"/>
        <w:rPr>
          <w:rFonts w:ascii="Times New Roman" w:hAnsi="Times New Roman" w:cs="Times New Roman"/>
          <w:sz w:val="24"/>
          <w:szCs w:val="24"/>
        </w:rPr>
      </w:pPr>
      <w:r>
        <w:rPr>
          <w:rFonts w:ascii="Times New Roman" w:hAnsi="Times New Roman" w:cs="Times New Roman"/>
          <w:sz w:val="24"/>
          <w:szCs w:val="24"/>
        </w:rPr>
        <w:t xml:space="preserve">Alternate Fuels Data Center of US Department of Energy. Retrieved from: </w:t>
      </w:r>
      <w:proofErr w:type="gramStart"/>
      <w:r w:rsidRPr="006D48EA">
        <w:rPr>
          <w:rFonts w:ascii="Times New Roman" w:hAnsi="Times New Roman" w:cs="Times New Roman"/>
          <w:sz w:val="24"/>
          <w:szCs w:val="24"/>
        </w:rPr>
        <w:t>https://afdc.energy.gov/</w:t>
      </w:r>
      <w:proofErr w:type="gramEnd"/>
    </w:p>
    <w:p w14:paraId="2567B1A3" w14:textId="77777777" w:rsidR="006D48EA" w:rsidRPr="00E74F1B" w:rsidRDefault="006D48EA" w:rsidP="001636BB">
      <w:pPr>
        <w:spacing w:line="240" w:lineRule="auto"/>
        <w:rPr>
          <w:rFonts w:ascii="Times New Roman" w:hAnsi="Times New Roman" w:cs="Times New Roman"/>
          <w:sz w:val="24"/>
          <w:szCs w:val="24"/>
        </w:rPr>
      </w:pPr>
    </w:p>
    <w:p w14:paraId="20A4435F" w14:textId="77777777" w:rsidR="00C47C32" w:rsidRPr="004609AA" w:rsidRDefault="00C47C32" w:rsidP="001636BB">
      <w:pPr>
        <w:spacing w:line="240" w:lineRule="auto"/>
        <w:rPr>
          <w:rFonts w:ascii="Times New Roman" w:hAnsi="Times New Roman" w:cs="Times New Roman"/>
          <w:sz w:val="24"/>
          <w:szCs w:val="24"/>
        </w:rPr>
      </w:pPr>
    </w:p>
    <w:p w14:paraId="7D6CF1A3" w14:textId="77777777" w:rsidR="004609AA" w:rsidRPr="00C0109D" w:rsidRDefault="004609AA" w:rsidP="001636BB">
      <w:pPr>
        <w:tabs>
          <w:tab w:val="left" w:pos="3990"/>
        </w:tabs>
        <w:spacing w:line="240" w:lineRule="auto"/>
        <w:jc w:val="both"/>
      </w:pPr>
    </w:p>
    <w:sectPr w:rsidR="004609AA" w:rsidRPr="00C0109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2D89" w14:textId="77777777" w:rsidR="00E41BEA" w:rsidRDefault="00E41BEA" w:rsidP="00AC50DE">
      <w:pPr>
        <w:spacing w:after="0" w:line="240" w:lineRule="auto"/>
      </w:pPr>
      <w:r>
        <w:separator/>
      </w:r>
    </w:p>
  </w:endnote>
  <w:endnote w:type="continuationSeparator" w:id="0">
    <w:p w14:paraId="6ACE4D06" w14:textId="77777777" w:rsidR="00E41BEA" w:rsidRDefault="00E41BEA" w:rsidP="00AC50DE">
      <w:pPr>
        <w:spacing w:after="0" w:line="240" w:lineRule="auto"/>
      </w:pPr>
      <w:r>
        <w:continuationSeparator/>
      </w:r>
    </w:p>
  </w:endnote>
  <w:endnote w:type="continuationNotice" w:id="1">
    <w:p w14:paraId="1B29EAF5" w14:textId="77777777" w:rsidR="00E41BEA" w:rsidRDefault="00E41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F2AE" w14:textId="0B945950" w:rsidR="00313257" w:rsidRDefault="00313257">
    <w:pPr>
      <w:pStyle w:val="Footer"/>
    </w:pPr>
  </w:p>
  <w:p w14:paraId="12A699B9" w14:textId="77777777" w:rsidR="00313257" w:rsidRDefault="00313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06AE" w14:textId="77777777" w:rsidR="00E41BEA" w:rsidRDefault="00E41BEA" w:rsidP="00AC50DE">
      <w:pPr>
        <w:spacing w:after="0" w:line="240" w:lineRule="auto"/>
      </w:pPr>
      <w:r>
        <w:separator/>
      </w:r>
    </w:p>
  </w:footnote>
  <w:footnote w:type="continuationSeparator" w:id="0">
    <w:p w14:paraId="00D9E004" w14:textId="77777777" w:rsidR="00E41BEA" w:rsidRDefault="00E41BEA" w:rsidP="00AC50DE">
      <w:pPr>
        <w:spacing w:after="0" w:line="240" w:lineRule="auto"/>
      </w:pPr>
      <w:r>
        <w:continuationSeparator/>
      </w:r>
    </w:p>
  </w:footnote>
  <w:footnote w:type="continuationNotice" w:id="1">
    <w:p w14:paraId="0E05D4E7" w14:textId="77777777" w:rsidR="00E41BEA" w:rsidRDefault="00E41B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E26E" w14:textId="3515D9F7" w:rsidR="00AC50DE" w:rsidRPr="001636BB" w:rsidRDefault="00F535D7">
    <w:pPr>
      <w:pStyle w:val="Header"/>
      <w:rPr>
        <w:rFonts w:ascii="Times New Roman" w:hAnsi="Times New Roman" w:cs="Times New Roman"/>
        <w:i/>
        <w:iCs/>
        <w:sz w:val="24"/>
        <w:szCs w:val="24"/>
      </w:rPr>
    </w:pPr>
    <w:r w:rsidRPr="001636BB">
      <w:rPr>
        <w:rFonts w:ascii="Times New Roman" w:hAnsi="Times New Roman" w:cs="Times New Roman"/>
        <w:i/>
        <w:iCs/>
        <w:noProof/>
        <w:sz w:val="24"/>
        <w:szCs w:val="24"/>
      </w:rPr>
      <mc:AlternateContent>
        <mc:Choice Requires="wps">
          <w:drawing>
            <wp:anchor distT="0" distB="0" distL="114300" distR="114300" simplePos="0" relativeHeight="251658241" behindDoc="0" locked="0" layoutInCell="0" allowOverlap="1" wp14:anchorId="5FE7EAA8" wp14:editId="5F22233E">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493D7" w14:textId="0099B4CF" w:rsidR="00F535D7" w:rsidRDefault="00F535D7">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FE7EAA8" id="_x0000_t202" coordsize="21600,21600" o:spt="202" path="m,l,21600r21600,l21600,xe">
              <v:stroke joinstyle="miter"/>
              <v:path gradientshapeok="t" o:connecttype="rect"/>
            </v:shapetype>
            <v:shape id="Text Box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ug8A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" o:allowincell="f" filled="f" stroked="f">
              <v:textbox style="mso-fit-shape-to-text:t" inset=",0,,0">
                <w:txbxContent>
                  <w:p w14:paraId="1EE493D7" w14:textId="0099B4CF" w:rsidR="00F535D7" w:rsidRDefault="00F535D7">
                    <w:pPr>
                      <w:spacing w:after="0" w:line="240" w:lineRule="auto"/>
                      <w:jc w:val="right"/>
                      <w:rPr>
                        <w:noProof/>
                      </w:rPr>
                    </w:pPr>
                  </w:p>
                </w:txbxContent>
              </v:textbox>
              <w10:wrap anchorx="margin" anchory="margin"/>
            </v:shape>
          </w:pict>
        </mc:Fallback>
      </mc:AlternateContent>
    </w:r>
    <w:r w:rsidRPr="001636BB">
      <w:rPr>
        <w:rFonts w:ascii="Times New Roman" w:hAnsi="Times New Roman" w:cs="Times New Roman"/>
        <w:i/>
        <w:iCs/>
        <w:noProof/>
        <w:sz w:val="24"/>
        <w:szCs w:val="24"/>
      </w:rPr>
      <mc:AlternateContent>
        <mc:Choice Requires="wps">
          <w:drawing>
            <wp:anchor distT="0" distB="0" distL="114300" distR="114300" simplePos="0" relativeHeight="251658240" behindDoc="0" locked="0" layoutInCell="0" allowOverlap="1" wp14:anchorId="3BAEF729" wp14:editId="424CC07A">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56043C6" w14:textId="77777777" w:rsidR="00F535D7" w:rsidRDefault="00F535D7">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BAEF729" id="Text Box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556043C6" w14:textId="77777777" w:rsidR="00F535D7" w:rsidRDefault="00F535D7">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r w:rsidR="00706861" w:rsidRPr="001636BB">
      <w:rPr>
        <w:rFonts w:ascii="Times New Roman" w:hAnsi="Times New Roman" w:cs="Times New Roman"/>
        <w:i/>
        <w:iCs/>
        <w:sz w:val="24"/>
        <w:szCs w:val="24"/>
      </w:rPr>
      <w:t>Town of Manlius 2019 Greenhouse Gas Inventory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867"/>
    <w:multiLevelType w:val="hybridMultilevel"/>
    <w:tmpl w:val="A152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63DB"/>
    <w:multiLevelType w:val="hybridMultilevel"/>
    <w:tmpl w:val="097C489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3D4590"/>
    <w:multiLevelType w:val="hybridMultilevel"/>
    <w:tmpl w:val="C01209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52149"/>
    <w:multiLevelType w:val="hybridMultilevel"/>
    <w:tmpl w:val="67E658F0"/>
    <w:lvl w:ilvl="0" w:tplc="7ABAD702">
      <w:start w:val="1"/>
      <w:numFmt w:val="bullet"/>
      <w:lvlText w:val=""/>
      <w:lvlJc w:val="left"/>
      <w:pPr>
        <w:ind w:left="720" w:hanging="360"/>
      </w:pPr>
      <w:rPr>
        <w:rFonts w:ascii="Symbol" w:hAnsi="Symbol" w:hint="default"/>
      </w:rPr>
    </w:lvl>
    <w:lvl w:ilvl="1" w:tplc="10C84152">
      <w:start w:val="1"/>
      <w:numFmt w:val="bullet"/>
      <w:lvlText w:val="o"/>
      <w:lvlJc w:val="left"/>
      <w:pPr>
        <w:ind w:left="1440" w:hanging="360"/>
      </w:pPr>
      <w:rPr>
        <w:rFonts w:ascii="Courier New" w:hAnsi="Courier New" w:hint="default"/>
      </w:rPr>
    </w:lvl>
    <w:lvl w:ilvl="2" w:tplc="3F1A40C2">
      <w:start w:val="1"/>
      <w:numFmt w:val="bullet"/>
      <w:lvlText w:val=""/>
      <w:lvlJc w:val="left"/>
      <w:pPr>
        <w:ind w:left="2160" w:hanging="360"/>
      </w:pPr>
      <w:rPr>
        <w:rFonts w:ascii="Wingdings" w:hAnsi="Wingdings" w:hint="default"/>
      </w:rPr>
    </w:lvl>
    <w:lvl w:ilvl="3" w:tplc="DE1A1820">
      <w:start w:val="1"/>
      <w:numFmt w:val="bullet"/>
      <w:lvlText w:val=""/>
      <w:lvlJc w:val="left"/>
      <w:pPr>
        <w:ind w:left="2880" w:hanging="360"/>
      </w:pPr>
      <w:rPr>
        <w:rFonts w:ascii="Symbol" w:hAnsi="Symbol" w:hint="default"/>
      </w:rPr>
    </w:lvl>
    <w:lvl w:ilvl="4" w:tplc="0BC6F712">
      <w:start w:val="1"/>
      <w:numFmt w:val="bullet"/>
      <w:lvlText w:val="o"/>
      <w:lvlJc w:val="left"/>
      <w:pPr>
        <w:ind w:left="3600" w:hanging="360"/>
      </w:pPr>
      <w:rPr>
        <w:rFonts w:ascii="Courier New" w:hAnsi="Courier New" w:hint="default"/>
      </w:rPr>
    </w:lvl>
    <w:lvl w:ilvl="5" w:tplc="00CAAA40">
      <w:start w:val="1"/>
      <w:numFmt w:val="bullet"/>
      <w:lvlText w:val=""/>
      <w:lvlJc w:val="left"/>
      <w:pPr>
        <w:ind w:left="4320" w:hanging="360"/>
      </w:pPr>
      <w:rPr>
        <w:rFonts w:ascii="Wingdings" w:hAnsi="Wingdings" w:hint="default"/>
      </w:rPr>
    </w:lvl>
    <w:lvl w:ilvl="6" w:tplc="CA56D98A">
      <w:start w:val="1"/>
      <w:numFmt w:val="bullet"/>
      <w:lvlText w:val=""/>
      <w:lvlJc w:val="left"/>
      <w:pPr>
        <w:ind w:left="5040" w:hanging="360"/>
      </w:pPr>
      <w:rPr>
        <w:rFonts w:ascii="Symbol" w:hAnsi="Symbol" w:hint="default"/>
      </w:rPr>
    </w:lvl>
    <w:lvl w:ilvl="7" w:tplc="389C3580">
      <w:start w:val="1"/>
      <w:numFmt w:val="bullet"/>
      <w:lvlText w:val="o"/>
      <w:lvlJc w:val="left"/>
      <w:pPr>
        <w:ind w:left="5760" w:hanging="360"/>
      </w:pPr>
      <w:rPr>
        <w:rFonts w:ascii="Courier New" w:hAnsi="Courier New" w:hint="default"/>
      </w:rPr>
    </w:lvl>
    <w:lvl w:ilvl="8" w:tplc="CD780CEC">
      <w:start w:val="1"/>
      <w:numFmt w:val="bullet"/>
      <w:lvlText w:val=""/>
      <w:lvlJc w:val="left"/>
      <w:pPr>
        <w:ind w:left="6480" w:hanging="360"/>
      </w:pPr>
      <w:rPr>
        <w:rFonts w:ascii="Wingdings" w:hAnsi="Wingdings" w:hint="default"/>
      </w:rPr>
    </w:lvl>
  </w:abstractNum>
  <w:abstractNum w:abstractNumId="4" w15:restartNumberingAfterBreak="0">
    <w:nsid w:val="1B3C1065"/>
    <w:multiLevelType w:val="hybridMultilevel"/>
    <w:tmpl w:val="2CD69B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C0A41"/>
    <w:multiLevelType w:val="hybridMultilevel"/>
    <w:tmpl w:val="1CC4F6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9C3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C30C21"/>
    <w:multiLevelType w:val="multilevel"/>
    <w:tmpl w:val="0CCE7C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3028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AA6312"/>
    <w:multiLevelType w:val="hybridMultilevel"/>
    <w:tmpl w:val="CCDA75D4"/>
    <w:lvl w:ilvl="0" w:tplc="B232BD6E">
      <w:start w:val="1"/>
      <w:numFmt w:val="bullet"/>
      <w:lvlText w:val="•"/>
      <w:lvlJc w:val="left"/>
      <w:pPr>
        <w:tabs>
          <w:tab w:val="num" w:pos="720"/>
        </w:tabs>
        <w:ind w:left="720" w:hanging="360"/>
      </w:pPr>
      <w:rPr>
        <w:rFonts w:ascii="Arial" w:hAnsi="Arial" w:hint="default"/>
      </w:rPr>
    </w:lvl>
    <w:lvl w:ilvl="1" w:tplc="BB86A0E0" w:tentative="1">
      <w:start w:val="1"/>
      <w:numFmt w:val="bullet"/>
      <w:lvlText w:val="•"/>
      <w:lvlJc w:val="left"/>
      <w:pPr>
        <w:tabs>
          <w:tab w:val="num" w:pos="1440"/>
        </w:tabs>
        <w:ind w:left="1440" w:hanging="360"/>
      </w:pPr>
      <w:rPr>
        <w:rFonts w:ascii="Arial" w:hAnsi="Arial" w:hint="default"/>
      </w:rPr>
    </w:lvl>
    <w:lvl w:ilvl="2" w:tplc="4B8CC674" w:tentative="1">
      <w:start w:val="1"/>
      <w:numFmt w:val="bullet"/>
      <w:lvlText w:val="•"/>
      <w:lvlJc w:val="left"/>
      <w:pPr>
        <w:tabs>
          <w:tab w:val="num" w:pos="2160"/>
        </w:tabs>
        <w:ind w:left="2160" w:hanging="360"/>
      </w:pPr>
      <w:rPr>
        <w:rFonts w:ascii="Arial" w:hAnsi="Arial" w:hint="default"/>
      </w:rPr>
    </w:lvl>
    <w:lvl w:ilvl="3" w:tplc="D458BF5A" w:tentative="1">
      <w:start w:val="1"/>
      <w:numFmt w:val="bullet"/>
      <w:lvlText w:val="•"/>
      <w:lvlJc w:val="left"/>
      <w:pPr>
        <w:tabs>
          <w:tab w:val="num" w:pos="2880"/>
        </w:tabs>
        <w:ind w:left="2880" w:hanging="360"/>
      </w:pPr>
      <w:rPr>
        <w:rFonts w:ascii="Arial" w:hAnsi="Arial" w:hint="default"/>
      </w:rPr>
    </w:lvl>
    <w:lvl w:ilvl="4" w:tplc="79147086" w:tentative="1">
      <w:start w:val="1"/>
      <w:numFmt w:val="bullet"/>
      <w:lvlText w:val="•"/>
      <w:lvlJc w:val="left"/>
      <w:pPr>
        <w:tabs>
          <w:tab w:val="num" w:pos="3600"/>
        </w:tabs>
        <w:ind w:left="3600" w:hanging="360"/>
      </w:pPr>
      <w:rPr>
        <w:rFonts w:ascii="Arial" w:hAnsi="Arial" w:hint="default"/>
      </w:rPr>
    </w:lvl>
    <w:lvl w:ilvl="5" w:tplc="57B09772" w:tentative="1">
      <w:start w:val="1"/>
      <w:numFmt w:val="bullet"/>
      <w:lvlText w:val="•"/>
      <w:lvlJc w:val="left"/>
      <w:pPr>
        <w:tabs>
          <w:tab w:val="num" w:pos="4320"/>
        </w:tabs>
        <w:ind w:left="4320" w:hanging="360"/>
      </w:pPr>
      <w:rPr>
        <w:rFonts w:ascii="Arial" w:hAnsi="Arial" w:hint="default"/>
      </w:rPr>
    </w:lvl>
    <w:lvl w:ilvl="6" w:tplc="58369DCE" w:tentative="1">
      <w:start w:val="1"/>
      <w:numFmt w:val="bullet"/>
      <w:lvlText w:val="•"/>
      <w:lvlJc w:val="left"/>
      <w:pPr>
        <w:tabs>
          <w:tab w:val="num" w:pos="5040"/>
        </w:tabs>
        <w:ind w:left="5040" w:hanging="360"/>
      </w:pPr>
      <w:rPr>
        <w:rFonts w:ascii="Arial" w:hAnsi="Arial" w:hint="default"/>
      </w:rPr>
    </w:lvl>
    <w:lvl w:ilvl="7" w:tplc="7A00BD62" w:tentative="1">
      <w:start w:val="1"/>
      <w:numFmt w:val="bullet"/>
      <w:lvlText w:val="•"/>
      <w:lvlJc w:val="left"/>
      <w:pPr>
        <w:tabs>
          <w:tab w:val="num" w:pos="5760"/>
        </w:tabs>
        <w:ind w:left="5760" w:hanging="360"/>
      </w:pPr>
      <w:rPr>
        <w:rFonts w:ascii="Arial" w:hAnsi="Arial" w:hint="default"/>
      </w:rPr>
    </w:lvl>
    <w:lvl w:ilvl="8" w:tplc="0E1494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377488"/>
    <w:multiLevelType w:val="hybridMultilevel"/>
    <w:tmpl w:val="910C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22D4E"/>
    <w:multiLevelType w:val="hybridMultilevel"/>
    <w:tmpl w:val="85162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C12ABB"/>
    <w:multiLevelType w:val="hybridMultilevel"/>
    <w:tmpl w:val="05C2407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3F4987"/>
    <w:multiLevelType w:val="hybridMultilevel"/>
    <w:tmpl w:val="2030305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E512B3"/>
    <w:multiLevelType w:val="hybridMultilevel"/>
    <w:tmpl w:val="153272C6"/>
    <w:lvl w:ilvl="0" w:tplc="AC525AD2">
      <w:start w:val="1"/>
      <w:numFmt w:val="bullet"/>
      <w:lvlText w:val="•"/>
      <w:lvlJc w:val="left"/>
      <w:pPr>
        <w:tabs>
          <w:tab w:val="num" w:pos="720"/>
        </w:tabs>
        <w:ind w:left="720" w:hanging="360"/>
      </w:pPr>
      <w:rPr>
        <w:rFonts w:ascii="Arial" w:hAnsi="Arial" w:hint="default"/>
      </w:rPr>
    </w:lvl>
    <w:lvl w:ilvl="1" w:tplc="8D461F18" w:tentative="1">
      <w:start w:val="1"/>
      <w:numFmt w:val="bullet"/>
      <w:lvlText w:val="•"/>
      <w:lvlJc w:val="left"/>
      <w:pPr>
        <w:tabs>
          <w:tab w:val="num" w:pos="1440"/>
        </w:tabs>
        <w:ind w:left="1440" w:hanging="360"/>
      </w:pPr>
      <w:rPr>
        <w:rFonts w:ascii="Arial" w:hAnsi="Arial" w:hint="default"/>
      </w:rPr>
    </w:lvl>
    <w:lvl w:ilvl="2" w:tplc="2F262F90" w:tentative="1">
      <w:start w:val="1"/>
      <w:numFmt w:val="bullet"/>
      <w:lvlText w:val="•"/>
      <w:lvlJc w:val="left"/>
      <w:pPr>
        <w:tabs>
          <w:tab w:val="num" w:pos="2160"/>
        </w:tabs>
        <w:ind w:left="2160" w:hanging="360"/>
      </w:pPr>
      <w:rPr>
        <w:rFonts w:ascii="Arial" w:hAnsi="Arial" w:hint="default"/>
      </w:rPr>
    </w:lvl>
    <w:lvl w:ilvl="3" w:tplc="06FC553C" w:tentative="1">
      <w:start w:val="1"/>
      <w:numFmt w:val="bullet"/>
      <w:lvlText w:val="•"/>
      <w:lvlJc w:val="left"/>
      <w:pPr>
        <w:tabs>
          <w:tab w:val="num" w:pos="2880"/>
        </w:tabs>
        <w:ind w:left="2880" w:hanging="360"/>
      </w:pPr>
      <w:rPr>
        <w:rFonts w:ascii="Arial" w:hAnsi="Arial" w:hint="default"/>
      </w:rPr>
    </w:lvl>
    <w:lvl w:ilvl="4" w:tplc="538469D4" w:tentative="1">
      <w:start w:val="1"/>
      <w:numFmt w:val="bullet"/>
      <w:lvlText w:val="•"/>
      <w:lvlJc w:val="left"/>
      <w:pPr>
        <w:tabs>
          <w:tab w:val="num" w:pos="3600"/>
        </w:tabs>
        <w:ind w:left="3600" w:hanging="360"/>
      </w:pPr>
      <w:rPr>
        <w:rFonts w:ascii="Arial" w:hAnsi="Arial" w:hint="default"/>
      </w:rPr>
    </w:lvl>
    <w:lvl w:ilvl="5" w:tplc="7D302D2A" w:tentative="1">
      <w:start w:val="1"/>
      <w:numFmt w:val="bullet"/>
      <w:lvlText w:val="•"/>
      <w:lvlJc w:val="left"/>
      <w:pPr>
        <w:tabs>
          <w:tab w:val="num" w:pos="4320"/>
        </w:tabs>
        <w:ind w:left="4320" w:hanging="360"/>
      </w:pPr>
      <w:rPr>
        <w:rFonts w:ascii="Arial" w:hAnsi="Arial" w:hint="default"/>
      </w:rPr>
    </w:lvl>
    <w:lvl w:ilvl="6" w:tplc="007C0320" w:tentative="1">
      <w:start w:val="1"/>
      <w:numFmt w:val="bullet"/>
      <w:lvlText w:val="•"/>
      <w:lvlJc w:val="left"/>
      <w:pPr>
        <w:tabs>
          <w:tab w:val="num" w:pos="5040"/>
        </w:tabs>
        <w:ind w:left="5040" w:hanging="360"/>
      </w:pPr>
      <w:rPr>
        <w:rFonts w:ascii="Arial" w:hAnsi="Arial" w:hint="default"/>
      </w:rPr>
    </w:lvl>
    <w:lvl w:ilvl="7" w:tplc="652A932A" w:tentative="1">
      <w:start w:val="1"/>
      <w:numFmt w:val="bullet"/>
      <w:lvlText w:val="•"/>
      <w:lvlJc w:val="left"/>
      <w:pPr>
        <w:tabs>
          <w:tab w:val="num" w:pos="5760"/>
        </w:tabs>
        <w:ind w:left="5760" w:hanging="360"/>
      </w:pPr>
      <w:rPr>
        <w:rFonts w:ascii="Arial" w:hAnsi="Arial" w:hint="default"/>
      </w:rPr>
    </w:lvl>
    <w:lvl w:ilvl="8" w:tplc="16A286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1357DE"/>
    <w:multiLevelType w:val="hybridMultilevel"/>
    <w:tmpl w:val="C00636D4"/>
    <w:lvl w:ilvl="0" w:tplc="F5E03DD6">
      <w:start w:val="9"/>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D75CF0"/>
    <w:multiLevelType w:val="hybridMultilevel"/>
    <w:tmpl w:val="39E2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A15473"/>
    <w:multiLevelType w:val="hybridMultilevel"/>
    <w:tmpl w:val="F92E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16"/>
  </w:num>
  <w:num w:numId="6">
    <w:abstractNumId w:val="17"/>
  </w:num>
  <w:num w:numId="7">
    <w:abstractNumId w:val="14"/>
  </w:num>
  <w:num w:numId="8">
    <w:abstractNumId w:val="11"/>
  </w:num>
  <w:num w:numId="9">
    <w:abstractNumId w:val="3"/>
  </w:num>
  <w:num w:numId="10">
    <w:abstractNumId w:val="8"/>
  </w:num>
  <w:num w:numId="11">
    <w:abstractNumId w:val="10"/>
  </w:num>
  <w:num w:numId="12">
    <w:abstractNumId w:val="6"/>
  </w:num>
  <w:num w:numId="13">
    <w:abstractNumId w:val="15"/>
  </w:num>
  <w:num w:numId="14">
    <w:abstractNumId w:val="13"/>
  </w:num>
  <w:num w:numId="15">
    <w:abstractNumId w:val="7"/>
  </w:num>
  <w:num w:numId="16">
    <w:abstractNumId w:val="1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wQCMxMzS0sLM3NDYyUdpeDU4uLM/DyQAqNaAI4YuOAsAAAA"/>
  </w:docVars>
  <w:rsids>
    <w:rsidRoot w:val="00EE3259"/>
    <w:rsid w:val="0001181A"/>
    <w:rsid w:val="000249EA"/>
    <w:rsid w:val="00025729"/>
    <w:rsid w:val="00031332"/>
    <w:rsid w:val="000370AD"/>
    <w:rsid w:val="00044FB4"/>
    <w:rsid w:val="000563F7"/>
    <w:rsid w:val="00061D50"/>
    <w:rsid w:val="00065A9E"/>
    <w:rsid w:val="00076528"/>
    <w:rsid w:val="00081D9C"/>
    <w:rsid w:val="00082F6D"/>
    <w:rsid w:val="00094AC9"/>
    <w:rsid w:val="000B3A9E"/>
    <w:rsid w:val="000B517A"/>
    <w:rsid w:val="000B5CDA"/>
    <w:rsid w:val="000C7119"/>
    <w:rsid w:val="000E0AE7"/>
    <w:rsid w:val="000E2DA2"/>
    <w:rsid w:val="000E5B39"/>
    <w:rsid w:val="000E76CA"/>
    <w:rsid w:val="000F4F03"/>
    <w:rsid w:val="00102F28"/>
    <w:rsid w:val="001118A3"/>
    <w:rsid w:val="00117606"/>
    <w:rsid w:val="00143A20"/>
    <w:rsid w:val="00150B05"/>
    <w:rsid w:val="00150D4F"/>
    <w:rsid w:val="001542B1"/>
    <w:rsid w:val="00155BA1"/>
    <w:rsid w:val="00161276"/>
    <w:rsid w:val="00162DE0"/>
    <w:rsid w:val="001636BB"/>
    <w:rsid w:val="00163978"/>
    <w:rsid w:val="00170EA5"/>
    <w:rsid w:val="00191880"/>
    <w:rsid w:val="001931EA"/>
    <w:rsid w:val="001A2B62"/>
    <w:rsid w:val="001A5EE6"/>
    <w:rsid w:val="001C1983"/>
    <w:rsid w:val="001C5146"/>
    <w:rsid w:val="001C69BB"/>
    <w:rsid w:val="001D3DC3"/>
    <w:rsid w:val="001E53E8"/>
    <w:rsid w:val="001F0FB4"/>
    <w:rsid w:val="001F19F9"/>
    <w:rsid w:val="001F598D"/>
    <w:rsid w:val="001F5C1A"/>
    <w:rsid w:val="001F5C5F"/>
    <w:rsid w:val="001F76F0"/>
    <w:rsid w:val="00220BFB"/>
    <w:rsid w:val="00221D3A"/>
    <w:rsid w:val="00226936"/>
    <w:rsid w:val="00230BC9"/>
    <w:rsid w:val="002402A0"/>
    <w:rsid w:val="002429DB"/>
    <w:rsid w:val="002450AF"/>
    <w:rsid w:val="002452F0"/>
    <w:rsid w:val="00245EEA"/>
    <w:rsid w:val="002574C6"/>
    <w:rsid w:val="00257FB7"/>
    <w:rsid w:val="0026124A"/>
    <w:rsid w:val="002722C8"/>
    <w:rsid w:val="00283A0A"/>
    <w:rsid w:val="00294693"/>
    <w:rsid w:val="00295182"/>
    <w:rsid w:val="002A2133"/>
    <w:rsid w:val="002E3654"/>
    <w:rsid w:val="002E6F78"/>
    <w:rsid w:val="002F3F9A"/>
    <w:rsid w:val="002F4B73"/>
    <w:rsid w:val="002F601E"/>
    <w:rsid w:val="002F7DE5"/>
    <w:rsid w:val="00306B76"/>
    <w:rsid w:val="00313257"/>
    <w:rsid w:val="00317336"/>
    <w:rsid w:val="00341930"/>
    <w:rsid w:val="003B0EFA"/>
    <w:rsid w:val="003B1A92"/>
    <w:rsid w:val="003C06E5"/>
    <w:rsid w:val="003C4575"/>
    <w:rsid w:val="003F5FBC"/>
    <w:rsid w:val="00433833"/>
    <w:rsid w:val="00433EF9"/>
    <w:rsid w:val="004344C0"/>
    <w:rsid w:val="00445609"/>
    <w:rsid w:val="004609AA"/>
    <w:rsid w:val="00460C5D"/>
    <w:rsid w:val="00462D5E"/>
    <w:rsid w:val="004846CD"/>
    <w:rsid w:val="0049412A"/>
    <w:rsid w:val="004A606B"/>
    <w:rsid w:val="004A6D9C"/>
    <w:rsid w:val="004B264E"/>
    <w:rsid w:val="004B5F0D"/>
    <w:rsid w:val="004C430D"/>
    <w:rsid w:val="004D3D96"/>
    <w:rsid w:val="004E0081"/>
    <w:rsid w:val="004F0BFF"/>
    <w:rsid w:val="004F3BDE"/>
    <w:rsid w:val="005012C9"/>
    <w:rsid w:val="00510FE0"/>
    <w:rsid w:val="00512F16"/>
    <w:rsid w:val="00521FD0"/>
    <w:rsid w:val="00531CCF"/>
    <w:rsid w:val="00532344"/>
    <w:rsid w:val="0053756D"/>
    <w:rsid w:val="0054247A"/>
    <w:rsid w:val="00543287"/>
    <w:rsid w:val="0054702E"/>
    <w:rsid w:val="0055433A"/>
    <w:rsid w:val="0056278D"/>
    <w:rsid w:val="005656BA"/>
    <w:rsid w:val="0057C2FD"/>
    <w:rsid w:val="005824BB"/>
    <w:rsid w:val="0058362F"/>
    <w:rsid w:val="005976A4"/>
    <w:rsid w:val="005A4755"/>
    <w:rsid w:val="005A7075"/>
    <w:rsid w:val="005A70A4"/>
    <w:rsid w:val="005B02DA"/>
    <w:rsid w:val="005B4749"/>
    <w:rsid w:val="005C1D8D"/>
    <w:rsid w:val="005D14CF"/>
    <w:rsid w:val="005D2BC4"/>
    <w:rsid w:val="005E314C"/>
    <w:rsid w:val="005F70D8"/>
    <w:rsid w:val="0060332B"/>
    <w:rsid w:val="006118C1"/>
    <w:rsid w:val="00613B7A"/>
    <w:rsid w:val="006160FD"/>
    <w:rsid w:val="0062755F"/>
    <w:rsid w:val="00634573"/>
    <w:rsid w:val="006360B4"/>
    <w:rsid w:val="00636218"/>
    <w:rsid w:val="0064205B"/>
    <w:rsid w:val="006553F1"/>
    <w:rsid w:val="00661F08"/>
    <w:rsid w:val="006641B9"/>
    <w:rsid w:val="006701D2"/>
    <w:rsid w:val="00670240"/>
    <w:rsid w:val="0067443A"/>
    <w:rsid w:val="006A1E8A"/>
    <w:rsid w:val="006A1F02"/>
    <w:rsid w:val="006C321E"/>
    <w:rsid w:val="006D48EA"/>
    <w:rsid w:val="006D6BF4"/>
    <w:rsid w:val="00703519"/>
    <w:rsid w:val="0070425C"/>
    <w:rsid w:val="00705E93"/>
    <w:rsid w:val="00706861"/>
    <w:rsid w:val="007330EC"/>
    <w:rsid w:val="00733CD3"/>
    <w:rsid w:val="0075195B"/>
    <w:rsid w:val="0076173C"/>
    <w:rsid w:val="00775D5F"/>
    <w:rsid w:val="00782585"/>
    <w:rsid w:val="007837D8"/>
    <w:rsid w:val="007846F0"/>
    <w:rsid w:val="0079477F"/>
    <w:rsid w:val="007A1340"/>
    <w:rsid w:val="007A7666"/>
    <w:rsid w:val="007B754B"/>
    <w:rsid w:val="007C0237"/>
    <w:rsid w:val="007C50B6"/>
    <w:rsid w:val="007D10BB"/>
    <w:rsid w:val="007D4261"/>
    <w:rsid w:val="007D762A"/>
    <w:rsid w:val="007E0FD4"/>
    <w:rsid w:val="007E403B"/>
    <w:rsid w:val="007F6809"/>
    <w:rsid w:val="00803B8C"/>
    <w:rsid w:val="0086710D"/>
    <w:rsid w:val="00872BBC"/>
    <w:rsid w:val="008738E4"/>
    <w:rsid w:val="00875AB0"/>
    <w:rsid w:val="00875F65"/>
    <w:rsid w:val="008979A1"/>
    <w:rsid w:val="008A2D01"/>
    <w:rsid w:val="008A3590"/>
    <w:rsid w:val="008E0455"/>
    <w:rsid w:val="008F3B8E"/>
    <w:rsid w:val="008F7F1B"/>
    <w:rsid w:val="00903D90"/>
    <w:rsid w:val="00920F2A"/>
    <w:rsid w:val="00930336"/>
    <w:rsid w:val="009440CB"/>
    <w:rsid w:val="009448D2"/>
    <w:rsid w:val="00946249"/>
    <w:rsid w:val="009520FC"/>
    <w:rsid w:val="009619A1"/>
    <w:rsid w:val="00973557"/>
    <w:rsid w:val="00975464"/>
    <w:rsid w:val="00983038"/>
    <w:rsid w:val="0099514E"/>
    <w:rsid w:val="009A6489"/>
    <w:rsid w:val="009C4DC7"/>
    <w:rsid w:val="009F7E56"/>
    <w:rsid w:val="00A01A68"/>
    <w:rsid w:val="00A22E88"/>
    <w:rsid w:val="00A26304"/>
    <w:rsid w:val="00A52F5C"/>
    <w:rsid w:val="00A57BF1"/>
    <w:rsid w:val="00A6364E"/>
    <w:rsid w:val="00A678D6"/>
    <w:rsid w:val="00A71429"/>
    <w:rsid w:val="00A9428C"/>
    <w:rsid w:val="00AA46D3"/>
    <w:rsid w:val="00AB5356"/>
    <w:rsid w:val="00AC4CAE"/>
    <w:rsid w:val="00AC50DE"/>
    <w:rsid w:val="00AC6061"/>
    <w:rsid w:val="00AF1FC9"/>
    <w:rsid w:val="00AF7F1E"/>
    <w:rsid w:val="00B07C01"/>
    <w:rsid w:val="00B15C4D"/>
    <w:rsid w:val="00B519B1"/>
    <w:rsid w:val="00B62EC8"/>
    <w:rsid w:val="00B71B48"/>
    <w:rsid w:val="00B97BFF"/>
    <w:rsid w:val="00BE421D"/>
    <w:rsid w:val="00C0109D"/>
    <w:rsid w:val="00C11D9A"/>
    <w:rsid w:val="00C47C32"/>
    <w:rsid w:val="00C503A4"/>
    <w:rsid w:val="00C62EA0"/>
    <w:rsid w:val="00C668E2"/>
    <w:rsid w:val="00C747FE"/>
    <w:rsid w:val="00CA54CE"/>
    <w:rsid w:val="00CB0A7D"/>
    <w:rsid w:val="00CB1C63"/>
    <w:rsid w:val="00CF0134"/>
    <w:rsid w:val="00CF1B7A"/>
    <w:rsid w:val="00CF7C01"/>
    <w:rsid w:val="00D01363"/>
    <w:rsid w:val="00D036E2"/>
    <w:rsid w:val="00D05EB4"/>
    <w:rsid w:val="00D26931"/>
    <w:rsid w:val="00D41738"/>
    <w:rsid w:val="00D44F47"/>
    <w:rsid w:val="00D47CB7"/>
    <w:rsid w:val="00D52047"/>
    <w:rsid w:val="00D615BA"/>
    <w:rsid w:val="00D65EBC"/>
    <w:rsid w:val="00D75A32"/>
    <w:rsid w:val="00D76BEB"/>
    <w:rsid w:val="00D8034D"/>
    <w:rsid w:val="00D84128"/>
    <w:rsid w:val="00D92D71"/>
    <w:rsid w:val="00DB3996"/>
    <w:rsid w:val="00DC3A15"/>
    <w:rsid w:val="00DC6E6B"/>
    <w:rsid w:val="00DD002A"/>
    <w:rsid w:val="00DE1AEC"/>
    <w:rsid w:val="00DF199B"/>
    <w:rsid w:val="00E03F19"/>
    <w:rsid w:val="00E06828"/>
    <w:rsid w:val="00E06D59"/>
    <w:rsid w:val="00E07120"/>
    <w:rsid w:val="00E07E36"/>
    <w:rsid w:val="00E100F8"/>
    <w:rsid w:val="00E32575"/>
    <w:rsid w:val="00E41BEA"/>
    <w:rsid w:val="00E53FDE"/>
    <w:rsid w:val="00E71446"/>
    <w:rsid w:val="00E74F1B"/>
    <w:rsid w:val="00EA058D"/>
    <w:rsid w:val="00EA0B25"/>
    <w:rsid w:val="00EA3E80"/>
    <w:rsid w:val="00EA6001"/>
    <w:rsid w:val="00EB002E"/>
    <w:rsid w:val="00EC399F"/>
    <w:rsid w:val="00EC4F0E"/>
    <w:rsid w:val="00ED3279"/>
    <w:rsid w:val="00EE1DE6"/>
    <w:rsid w:val="00EE3259"/>
    <w:rsid w:val="00EF5255"/>
    <w:rsid w:val="00EF7FAB"/>
    <w:rsid w:val="00F00A3F"/>
    <w:rsid w:val="00F050F6"/>
    <w:rsid w:val="00F0768E"/>
    <w:rsid w:val="00F127FB"/>
    <w:rsid w:val="00F209E5"/>
    <w:rsid w:val="00F303C8"/>
    <w:rsid w:val="00F379EA"/>
    <w:rsid w:val="00F44A78"/>
    <w:rsid w:val="00F535D7"/>
    <w:rsid w:val="00F6003C"/>
    <w:rsid w:val="00F67BC0"/>
    <w:rsid w:val="00F74697"/>
    <w:rsid w:val="00F851AE"/>
    <w:rsid w:val="00F879CA"/>
    <w:rsid w:val="00F93DE1"/>
    <w:rsid w:val="00F94D01"/>
    <w:rsid w:val="00F97162"/>
    <w:rsid w:val="00FA662E"/>
    <w:rsid w:val="00FC4DA9"/>
    <w:rsid w:val="00FE1837"/>
    <w:rsid w:val="00FF13B1"/>
    <w:rsid w:val="00FF6EDC"/>
    <w:rsid w:val="0162FCF2"/>
    <w:rsid w:val="065C5A18"/>
    <w:rsid w:val="07C0ED97"/>
    <w:rsid w:val="0950919E"/>
    <w:rsid w:val="09CBCC3D"/>
    <w:rsid w:val="0B2D8500"/>
    <w:rsid w:val="1229CF61"/>
    <w:rsid w:val="166B5704"/>
    <w:rsid w:val="17B720B5"/>
    <w:rsid w:val="182B7DBA"/>
    <w:rsid w:val="1D5B370F"/>
    <w:rsid w:val="1DDA8592"/>
    <w:rsid w:val="1E682F8C"/>
    <w:rsid w:val="1ED285C7"/>
    <w:rsid w:val="1F9EEB57"/>
    <w:rsid w:val="2125E38D"/>
    <w:rsid w:val="26C841FC"/>
    <w:rsid w:val="2939FD44"/>
    <w:rsid w:val="29840BC7"/>
    <w:rsid w:val="32130078"/>
    <w:rsid w:val="3617A154"/>
    <w:rsid w:val="38C83A62"/>
    <w:rsid w:val="38F3504D"/>
    <w:rsid w:val="3994099D"/>
    <w:rsid w:val="3A86DB76"/>
    <w:rsid w:val="3BA6BD25"/>
    <w:rsid w:val="3DD766B9"/>
    <w:rsid w:val="3EC33C26"/>
    <w:rsid w:val="405F0C87"/>
    <w:rsid w:val="433335CB"/>
    <w:rsid w:val="49D8F9DC"/>
    <w:rsid w:val="52C4DA67"/>
    <w:rsid w:val="56CA37FD"/>
    <w:rsid w:val="5DD8F17D"/>
    <w:rsid w:val="61206C50"/>
    <w:rsid w:val="647EB1A0"/>
    <w:rsid w:val="64B2B3D0"/>
    <w:rsid w:val="669A574A"/>
    <w:rsid w:val="66F11912"/>
    <w:rsid w:val="67DD1DBB"/>
    <w:rsid w:val="6978EE1C"/>
    <w:rsid w:val="71C7C800"/>
    <w:rsid w:val="749470C3"/>
    <w:rsid w:val="77800146"/>
    <w:rsid w:val="7B50CD34"/>
    <w:rsid w:val="7D68871B"/>
    <w:rsid w:val="7FCE6C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B4775"/>
  <w15:chartTrackingRefBased/>
  <w15:docId w15:val="{080CDCDF-8B93-4D2A-B1B6-26768AB1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D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5C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0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0134"/>
    <w:rPr>
      <w:color w:val="0000FF"/>
      <w:u w:val="single"/>
    </w:rPr>
  </w:style>
  <w:style w:type="paragraph" w:styleId="ListParagraph">
    <w:name w:val="List Paragraph"/>
    <w:basedOn w:val="Normal"/>
    <w:uiPriority w:val="34"/>
    <w:qFormat/>
    <w:rsid w:val="00245EEA"/>
    <w:pPr>
      <w:ind w:left="720"/>
      <w:contextualSpacing/>
    </w:pPr>
  </w:style>
  <w:style w:type="table" w:styleId="GridTable2-Accent1">
    <w:name w:val="Grid Table 2 Accent 1"/>
    <w:basedOn w:val="TableNormal"/>
    <w:uiPriority w:val="47"/>
    <w:rsid w:val="00F9716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C47C32"/>
    <w:rPr>
      <w:color w:val="605E5C"/>
      <w:shd w:val="clear" w:color="auto" w:fill="E1DFDD"/>
    </w:rPr>
  </w:style>
  <w:style w:type="paragraph" w:styleId="Header">
    <w:name w:val="header"/>
    <w:basedOn w:val="Normal"/>
    <w:link w:val="HeaderChar"/>
    <w:uiPriority w:val="99"/>
    <w:unhideWhenUsed/>
    <w:rsid w:val="00AC5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DE"/>
  </w:style>
  <w:style w:type="paragraph" w:styleId="Footer">
    <w:name w:val="footer"/>
    <w:basedOn w:val="Normal"/>
    <w:link w:val="FooterChar"/>
    <w:uiPriority w:val="99"/>
    <w:unhideWhenUsed/>
    <w:rsid w:val="00AC5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0DE"/>
  </w:style>
  <w:style w:type="character" w:customStyle="1" w:styleId="apple-tab-span">
    <w:name w:val="apple-tab-span"/>
    <w:basedOn w:val="DefaultParagraphFont"/>
    <w:rsid w:val="00D65EBC"/>
  </w:style>
  <w:style w:type="character" w:customStyle="1" w:styleId="Heading1Char">
    <w:name w:val="Heading 1 Char"/>
    <w:basedOn w:val="DefaultParagraphFont"/>
    <w:link w:val="Heading1"/>
    <w:uiPriority w:val="9"/>
    <w:rsid w:val="00081D9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1D9C"/>
    <w:pPr>
      <w:outlineLvl w:val="9"/>
    </w:pPr>
  </w:style>
  <w:style w:type="paragraph" w:styleId="TOC2">
    <w:name w:val="toc 2"/>
    <w:basedOn w:val="Normal"/>
    <w:next w:val="Normal"/>
    <w:autoRedefine/>
    <w:uiPriority w:val="39"/>
    <w:unhideWhenUsed/>
    <w:rsid w:val="00081D9C"/>
    <w:pPr>
      <w:spacing w:after="100"/>
      <w:ind w:left="220"/>
    </w:pPr>
    <w:rPr>
      <w:rFonts w:eastAsiaTheme="minorEastAsia" w:cs="Times New Roman"/>
    </w:rPr>
  </w:style>
  <w:style w:type="paragraph" w:styleId="TOC1">
    <w:name w:val="toc 1"/>
    <w:basedOn w:val="Normal"/>
    <w:next w:val="Normal"/>
    <w:autoRedefine/>
    <w:uiPriority w:val="39"/>
    <w:unhideWhenUsed/>
    <w:rsid w:val="00081D9C"/>
    <w:pPr>
      <w:spacing w:after="100"/>
    </w:pPr>
    <w:rPr>
      <w:rFonts w:eastAsiaTheme="minorEastAsia" w:cs="Times New Roman"/>
    </w:rPr>
  </w:style>
  <w:style w:type="paragraph" w:styleId="TOC3">
    <w:name w:val="toc 3"/>
    <w:basedOn w:val="Normal"/>
    <w:next w:val="Normal"/>
    <w:autoRedefine/>
    <w:uiPriority w:val="39"/>
    <w:unhideWhenUsed/>
    <w:rsid w:val="00081D9C"/>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B15C4D"/>
    <w:rPr>
      <w:rFonts w:asciiTheme="majorHAnsi" w:eastAsiaTheme="majorEastAsia" w:hAnsiTheme="majorHAnsi" w:cstheme="majorBidi"/>
      <w:color w:val="2F5496" w:themeColor="accent1" w:themeShade="BF"/>
      <w:sz w:val="26"/>
      <w:szCs w:val="26"/>
    </w:rPr>
  </w:style>
  <w:style w:type="table" w:styleId="GridTable1Light-Accent6">
    <w:name w:val="Grid Table 1 Light Accent 6"/>
    <w:basedOn w:val="TableNormal"/>
    <w:uiPriority w:val="46"/>
    <w:rsid w:val="004B5F0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eop">
    <w:name w:val="eop"/>
    <w:basedOn w:val="DefaultParagraphFont"/>
    <w:rsid w:val="0067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3424">
      <w:bodyDiv w:val="1"/>
      <w:marLeft w:val="0"/>
      <w:marRight w:val="0"/>
      <w:marTop w:val="0"/>
      <w:marBottom w:val="0"/>
      <w:divBdr>
        <w:top w:val="none" w:sz="0" w:space="0" w:color="auto"/>
        <w:left w:val="none" w:sz="0" w:space="0" w:color="auto"/>
        <w:bottom w:val="none" w:sz="0" w:space="0" w:color="auto"/>
        <w:right w:val="none" w:sz="0" w:space="0" w:color="auto"/>
      </w:divBdr>
    </w:div>
    <w:div w:id="754402958">
      <w:bodyDiv w:val="1"/>
      <w:marLeft w:val="0"/>
      <w:marRight w:val="0"/>
      <w:marTop w:val="0"/>
      <w:marBottom w:val="0"/>
      <w:divBdr>
        <w:top w:val="none" w:sz="0" w:space="0" w:color="auto"/>
        <w:left w:val="none" w:sz="0" w:space="0" w:color="auto"/>
        <w:bottom w:val="none" w:sz="0" w:space="0" w:color="auto"/>
        <w:right w:val="none" w:sz="0" w:space="0" w:color="auto"/>
      </w:divBdr>
      <w:divsChild>
        <w:div w:id="208734313">
          <w:marLeft w:val="907"/>
          <w:marRight w:val="0"/>
          <w:marTop w:val="0"/>
          <w:marBottom w:val="0"/>
          <w:divBdr>
            <w:top w:val="none" w:sz="0" w:space="0" w:color="auto"/>
            <w:left w:val="none" w:sz="0" w:space="0" w:color="auto"/>
            <w:bottom w:val="none" w:sz="0" w:space="0" w:color="auto"/>
            <w:right w:val="none" w:sz="0" w:space="0" w:color="auto"/>
          </w:divBdr>
        </w:div>
        <w:div w:id="637875614">
          <w:marLeft w:val="907"/>
          <w:marRight w:val="0"/>
          <w:marTop w:val="0"/>
          <w:marBottom w:val="0"/>
          <w:divBdr>
            <w:top w:val="none" w:sz="0" w:space="0" w:color="auto"/>
            <w:left w:val="none" w:sz="0" w:space="0" w:color="auto"/>
            <w:bottom w:val="none" w:sz="0" w:space="0" w:color="auto"/>
            <w:right w:val="none" w:sz="0" w:space="0" w:color="auto"/>
          </w:divBdr>
        </w:div>
        <w:div w:id="1031806329">
          <w:marLeft w:val="907"/>
          <w:marRight w:val="0"/>
          <w:marTop w:val="0"/>
          <w:marBottom w:val="0"/>
          <w:divBdr>
            <w:top w:val="none" w:sz="0" w:space="0" w:color="auto"/>
            <w:left w:val="none" w:sz="0" w:space="0" w:color="auto"/>
            <w:bottom w:val="none" w:sz="0" w:space="0" w:color="auto"/>
            <w:right w:val="none" w:sz="0" w:space="0" w:color="auto"/>
          </w:divBdr>
        </w:div>
        <w:div w:id="1370642483">
          <w:marLeft w:val="907"/>
          <w:marRight w:val="0"/>
          <w:marTop w:val="0"/>
          <w:marBottom w:val="0"/>
          <w:divBdr>
            <w:top w:val="none" w:sz="0" w:space="0" w:color="auto"/>
            <w:left w:val="none" w:sz="0" w:space="0" w:color="auto"/>
            <w:bottom w:val="none" w:sz="0" w:space="0" w:color="auto"/>
            <w:right w:val="none" w:sz="0" w:space="0" w:color="auto"/>
          </w:divBdr>
        </w:div>
      </w:divsChild>
    </w:div>
    <w:div w:id="1057052501">
      <w:bodyDiv w:val="1"/>
      <w:marLeft w:val="0"/>
      <w:marRight w:val="0"/>
      <w:marTop w:val="0"/>
      <w:marBottom w:val="0"/>
      <w:divBdr>
        <w:top w:val="none" w:sz="0" w:space="0" w:color="auto"/>
        <w:left w:val="none" w:sz="0" w:space="0" w:color="auto"/>
        <w:bottom w:val="none" w:sz="0" w:space="0" w:color="auto"/>
        <w:right w:val="none" w:sz="0" w:space="0" w:color="auto"/>
      </w:divBdr>
    </w:div>
    <w:div w:id="1170559666">
      <w:bodyDiv w:val="1"/>
      <w:marLeft w:val="0"/>
      <w:marRight w:val="0"/>
      <w:marTop w:val="0"/>
      <w:marBottom w:val="0"/>
      <w:divBdr>
        <w:top w:val="none" w:sz="0" w:space="0" w:color="auto"/>
        <w:left w:val="none" w:sz="0" w:space="0" w:color="auto"/>
        <w:bottom w:val="none" w:sz="0" w:space="0" w:color="auto"/>
        <w:right w:val="none" w:sz="0" w:space="0" w:color="auto"/>
      </w:divBdr>
    </w:div>
    <w:div w:id="1174998720">
      <w:bodyDiv w:val="1"/>
      <w:marLeft w:val="0"/>
      <w:marRight w:val="0"/>
      <w:marTop w:val="0"/>
      <w:marBottom w:val="0"/>
      <w:divBdr>
        <w:top w:val="none" w:sz="0" w:space="0" w:color="auto"/>
        <w:left w:val="none" w:sz="0" w:space="0" w:color="auto"/>
        <w:bottom w:val="none" w:sz="0" w:space="0" w:color="auto"/>
        <w:right w:val="none" w:sz="0" w:space="0" w:color="auto"/>
      </w:divBdr>
    </w:div>
    <w:div w:id="1175729443">
      <w:bodyDiv w:val="1"/>
      <w:marLeft w:val="0"/>
      <w:marRight w:val="0"/>
      <w:marTop w:val="0"/>
      <w:marBottom w:val="0"/>
      <w:divBdr>
        <w:top w:val="none" w:sz="0" w:space="0" w:color="auto"/>
        <w:left w:val="none" w:sz="0" w:space="0" w:color="auto"/>
        <w:bottom w:val="none" w:sz="0" w:space="0" w:color="auto"/>
        <w:right w:val="none" w:sz="0" w:space="0" w:color="auto"/>
      </w:divBdr>
    </w:div>
    <w:div w:id="1414274635">
      <w:bodyDiv w:val="1"/>
      <w:marLeft w:val="0"/>
      <w:marRight w:val="0"/>
      <w:marTop w:val="0"/>
      <w:marBottom w:val="0"/>
      <w:divBdr>
        <w:top w:val="none" w:sz="0" w:space="0" w:color="auto"/>
        <w:left w:val="none" w:sz="0" w:space="0" w:color="auto"/>
        <w:bottom w:val="none" w:sz="0" w:space="0" w:color="auto"/>
        <w:right w:val="none" w:sz="0" w:space="0" w:color="auto"/>
      </w:divBdr>
    </w:div>
    <w:div w:id="1502113389">
      <w:bodyDiv w:val="1"/>
      <w:marLeft w:val="0"/>
      <w:marRight w:val="0"/>
      <w:marTop w:val="0"/>
      <w:marBottom w:val="0"/>
      <w:divBdr>
        <w:top w:val="none" w:sz="0" w:space="0" w:color="auto"/>
        <w:left w:val="none" w:sz="0" w:space="0" w:color="auto"/>
        <w:bottom w:val="none" w:sz="0" w:space="0" w:color="auto"/>
        <w:right w:val="none" w:sz="0" w:space="0" w:color="auto"/>
      </w:divBdr>
    </w:div>
    <w:div w:id="1562865334">
      <w:bodyDiv w:val="1"/>
      <w:marLeft w:val="0"/>
      <w:marRight w:val="0"/>
      <w:marTop w:val="0"/>
      <w:marBottom w:val="0"/>
      <w:divBdr>
        <w:top w:val="none" w:sz="0" w:space="0" w:color="auto"/>
        <w:left w:val="none" w:sz="0" w:space="0" w:color="auto"/>
        <w:bottom w:val="none" w:sz="0" w:space="0" w:color="auto"/>
        <w:right w:val="none" w:sz="0" w:space="0" w:color="auto"/>
      </w:divBdr>
    </w:div>
    <w:div w:id="1619483727">
      <w:bodyDiv w:val="1"/>
      <w:marLeft w:val="0"/>
      <w:marRight w:val="0"/>
      <w:marTop w:val="0"/>
      <w:marBottom w:val="0"/>
      <w:divBdr>
        <w:top w:val="none" w:sz="0" w:space="0" w:color="auto"/>
        <w:left w:val="none" w:sz="0" w:space="0" w:color="auto"/>
        <w:bottom w:val="none" w:sz="0" w:space="0" w:color="auto"/>
        <w:right w:val="none" w:sz="0" w:space="0" w:color="auto"/>
      </w:divBdr>
      <w:divsChild>
        <w:div w:id="1136143233">
          <w:marLeft w:val="0"/>
          <w:marRight w:val="0"/>
          <w:marTop w:val="0"/>
          <w:marBottom w:val="240"/>
          <w:divBdr>
            <w:top w:val="none" w:sz="0" w:space="0" w:color="auto"/>
            <w:left w:val="none" w:sz="0" w:space="0" w:color="auto"/>
            <w:bottom w:val="none" w:sz="0" w:space="0" w:color="auto"/>
            <w:right w:val="none" w:sz="0" w:space="0" w:color="auto"/>
          </w:divBdr>
        </w:div>
      </w:divsChild>
    </w:div>
    <w:div w:id="20767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G:\SUNY%20ESF\EST%20627%20Environmental%20%20and%20Energy%20Auditing\Manlius%20Project\Vehicle%20Fleet%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SUNY%20ESF\EST%20627%20Environmental%20%20and%20Energy%20Auditing\Manlius%20Project\Vehicle%20Fleet%20Gr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SUNY%20ESF\EST%20627%20Environmental%20%20and%20Energy%20Auditing\Manlius%20Project\Vehicle%20Fleet%20Grap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Vehicle Fleet Sector </a:t>
            </a:r>
            <a:r>
              <a:rPr lang="en-US" sz="1400" b="1" i="0" u="none" strike="noStrike" cap="all" baseline="0">
                <a:effectLst/>
              </a:rPr>
              <a:t>GHG Emissions (MTCO</a:t>
            </a:r>
            <a:r>
              <a:rPr lang="en-US" sz="1400" b="1" i="0" u="none" strike="noStrike" cap="all" baseline="-25000">
                <a:effectLst/>
              </a:rPr>
              <a:t>2</a:t>
            </a:r>
            <a:r>
              <a:rPr lang="en-US" sz="1400" b="1" i="0" u="none" strike="noStrike" cap="all" baseline="0">
                <a:effectLst/>
              </a:rPr>
              <a:t>e) - 2019  </a:t>
            </a:r>
            <a:endParaRPr lang="en-US"/>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FD9-40D9-8904-FB45AF2B43C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FD9-40D9-8904-FB45AF2B43C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FD9-40D9-8904-FB45AF2B43C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Sheet1!$C$3:$E$3</c:f>
              <c:strCache>
                <c:ptCount val="3"/>
                <c:pt idx="0">
                  <c:v>Kerosene</c:v>
                </c:pt>
                <c:pt idx="1">
                  <c:v>Gasoline</c:v>
                </c:pt>
                <c:pt idx="2">
                  <c:v>Diesel</c:v>
                </c:pt>
              </c:strCache>
            </c:strRef>
          </c:cat>
          <c:val>
            <c:numRef>
              <c:f>Sheet1!$C$4:$E$4</c:f>
              <c:numCache>
                <c:formatCode>General</c:formatCode>
                <c:ptCount val="3"/>
                <c:pt idx="0">
                  <c:v>69.75</c:v>
                </c:pt>
                <c:pt idx="1">
                  <c:v>313</c:v>
                </c:pt>
                <c:pt idx="2">
                  <c:v>388</c:v>
                </c:pt>
              </c:numCache>
            </c:numRef>
          </c:val>
          <c:extLst>
            <c:ext xmlns:c16="http://schemas.microsoft.com/office/drawing/2014/chart" uri="{C3380CC4-5D6E-409C-BE32-E72D297353CC}">
              <c16:uniqueId val="{00000006-7FD9-40D9-8904-FB45AF2B43C7}"/>
            </c:ext>
          </c:extLst>
        </c:ser>
        <c:dLbls>
          <c:dLblPos val="inEnd"/>
          <c:showLegendKey val="0"/>
          <c:showVal val="1"/>
          <c:showCatName val="1"/>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Buildings&amp;facilities</a:t>
            </a:r>
            <a:r>
              <a:rPr lang="en-US" baseline="0"/>
              <a:t> sector GHg emissions (mtco</a:t>
            </a:r>
            <a:r>
              <a:rPr lang="en-US" baseline="-25000"/>
              <a:t>2</a:t>
            </a:r>
            <a:r>
              <a:rPr lang="en-US" baseline="0"/>
              <a:t>e) - 2019</a:t>
            </a:r>
            <a:endParaRPr lang="en-US"/>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B47-414D-9E87-9306520147F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B47-414D-9E87-9306520147F4}"/>
              </c:ext>
            </c:extLst>
          </c:dPt>
          <c:dLbls>
            <c:dLbl>
              <c:idx val="0"/>
              <c:tx>
                <c:rich>
                  <a:bodyPr/>
                  <a:lstStyle/>
                  <a:p>
                    <a:fld id="{400D2294-9E80-4D34-8DED-B38857E35BE7}" type="CATEGORYNAME">
                      <a:rPr lang="en-US"/>
                      <a:pPr/>
                      <a:t>[CATEGORY NAME]</a:t>
                    </a:fld>
                    <a:r>
                      <a:rPr lang="en-US" baseline="0"/>
                      <a:t>,34.32, </a:t>
                    </a:r>
                    <a:fld id="{92FC6062-2BC8-4FFC-B4A3-129D8F23DF29}" type="PERCENTAGE">
                      <a:rPr lang="en-US" baseline="0"/>
                      <a:pPr/>
                      <a:t>[PERCENTAGE]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B47-414D-9E87-9306520147F4}"/>
                </c:ext>
              </c:extLst>
            </c:dLbl>
            <c:dLbl>
              <c:idx val="1"/>
              <c:tx>
                <c:rich>
                  <a:bodyPr/>
                  <a:lstStyle/>
                  <a:p>
                    <a:fld id="{773444A0-2018-400E-9AFE-C3C7897D0AA6}" type="CATEGORYNAME">
                      <a:rPr lang="en-US"/>
                      <a:pPr/>
                      <a:t>[CATEGORY NAME]</a:t>
                    </a:fld>
                    <a:r>
                      <a:rPr lang="en-US"/>
                      <a:t>,90.53</a:t>
                    </a:r>
                    <a:r>
                      <a:rPr lang="en-US" baseline="0"/>
                      <a:t>
</a:t>
                    </a:r>
                    <a:fld id="{06E7DEE0-2084-4058-8109-D02A70B63922}" type="PERCENTAGE">
                      <a:rPr lang="en-US" baseline="0"/>
                      <a:pPr/>
                      <a:t>[PERCENTAGE]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B47-414D-9E87-9306520147F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Sheet1!$C$10:$D$10</c:f>
              <c:strCache>
                <c:ptCount val="2"/>
                <c:pt idx="0">
                  <c:v>Electricity Use</c:v>
                </c:pt>
                <c:pt idx="1">
                  <c:v>Natural Gas Use</c:v>
                </c:pt>
              </c:strCache>
            </c:strRef>
          </c:cat>
          <c:val>
            <c:numRef>
              <c:f>Sheet1!$C$11:$D$11</c:f>
              <c:numCache>
                <c:formatCode>General</c:formatCode>
                <c:ptCount val="2"/>
                <c:pt idx="0">
                  <c:v>34.32</c:v>
                </c:pt>
                <c:pt idx="1">
                  <c:v>90.53</c:v>
                </c:pt>
              </c:numCache>
            </c:numRef>
          </c:val>
          <c:extLst>
            <c:ext xmlns:c16="http://schemas.microsoft.com/office/drawing/2014/chart" uri="{C3380CC4-5D6E-409C-BE32-E72D297353CC}">
              <c16:uniqueId val="{00000004-CB47-414D-9E87-9306520147F4}"/>
            </c:ext>
          </c:extLst>
        </c:ser>
        <c:dLbls>
          <c:showLegendKey val="0"/>
          <c:showVal val="0"/>
          <c:showCatName val="1"/>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Total sector</a:t>
            </a:r>
            <a:r>
              <a:rPr lang="en-US" baseline="0"/>
              <a:t> ghg emissions (mtco</a:t>
            </a:r>
            <a:r>
              <a:rPr lang="en-US" baseline="-25000"/>
              <a:t>2</a:t>
            </a:r>
            <a:r>
              <a:rPr lang="en-US" baseline="0"/>
              <a:t>e) - 2019</a:t>
            </a:r>
            <a:endParaRPr lang="en-US"/>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EF5-41B2-A22F-4B1B02F5816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EF5-41B2-A22F-4B1B02F5816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EF5-41B2-A22F-4B1B02F58162}"/>
              </c:ext>
            </c:extLst>
          </c:dPt>
          <c:dLbls>
            <c:dLbl>
              <c:idx val="0"/>
              <c:layout>
                <c:manualLayout>
                  <c:x val="7.2336277020077902E-2"/>
                  <c:y val="4.4444444444444418E-2"/>
                </c:manualLayout>
              </c:layout>
              <c:tx>
                <c:rich>
                  <a:bodyPr/>
                  <a:lstStyle/>
                  <a:p>
                    <a:fld id="{51ED5895-A075-42B7-BBE2-D9152079ECBD}" type="CATEGORYNAME">
                      <a:rPr lang="en-US"/>
                      <a:pPr/>
                      <a:t>[CATEGORY NAME]</a:t>
                    </a:fld>
                    <a:r>
                      <a:rPr lang="en-US"/>
                      <a:t>, 124.85,</a:t>
                    </a:r>
                    <a:r>
                      <a:rPr lang="en-US" baseline="0"/>
                      <a:t>
</a:t>
                    </a:r>
                    <a:fld id="{C131FBD5-5616-418B-825C-7FF5F2323B4D}"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EF5-41B2-A22F-4B1B02F58162}"/>
                </c:ext>
              </c:extLst>
            </c:dLbl>
            <c:dLbl>
              <c:idx val="1"/>
              <c:layout>
                <c:manualLayout>
                  <c:x val="-7.6246346048190222E-2"/>
                  <c:y val="-2.2222222222222223E-2"/>
                </c:manualLayout>
              </c:layout>
              <c:tx>
                <c:rich>
                  <a:bodyPr/>
                  <a:lstStyle/>
                  <a:p>
                    <a:fld id="{F4F4E9CA-83D1-4070-901F-423CE1E9CCD4}" type="CATEGORYNAME">
                      <a:rPr lang="en-US"/>
                      <a:pPr/>
                      <a:t>[CATEGORY NAME]</a:t>
                    </a:fld>
                    <a:r>
                      <a:rPr lang="en-US"/>
                      <a:t>, 770.75,</a:t>
                    </a:r>
                    <a:r>
                      <a:rPr lang="en-US" baseline="0"/>
                      <a:t>
</a:t>
                    </a:r>
                    <a:fld id="{63262CCB-87B4-4DFA-A7E0-97C7B4E60C03}"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EF5-41B2-A22F-4B1B02F58162}"/>
                </c:ext>
              </c:extLst>
            </c:dLbl>
            <c:dLbl>
              <c:idx val="2"/>
              <c:layout>
                <c:manualLayout>
                  <c:x val="-0.15288262142111306"/>
                  <c:y val="1.6185226846644168E-2"/>
                </c:manualLayout>
              </c:layout>
              <c:tx>
                <c:rich>
                  <a:bodyPr/>
                  <a:lstStyle/>
                  <a:p>
                    <a:fld id="{5F989071-F4DC-4313-911C-1F0F6F92C945}" type="CATEGORYNAME">
                      <a:rPr lang="en-US"/>
                      <a:pPr/>
                      <a:t>[CATEGORY NAME]</a:t>
                    </a:fld>
                    <a:r>
                      <a:rPr lang="en-US" baseline="0"/>
                      <a:t>, 18.49, </a:t>
                    </a:r>
                    <a:fld id="{61E32BCE-71B2-47D9-B187-B044B05B5E2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EF5-41B2-A22F-4B1B02F5816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Sheet1!$C$13:$E$13</c:f>
              <c:strCache>
                <c:ptCount val="3"/>
                <c:pt idx="0">
                  <c:v>Buildings&amp;Facilities</c:v>
                </c:pt>
                <c:pt idx="1">
                  <c:v>Vehicle Fleet</c:v>
                </c:pt>
                <c:pt idx="2">
                  <c:v>Streetlights</c:v>
                </c:pt>
              </c:strCache>
            </c:strRef>
          </c:cat>
          <c:val>
            <c:numRef>
              <c:f>Sheet1!$C$14:$E$14</c:f>
              <c:numCache>
                <c:formatCode>General</c:formatCode>
                <c:ptCount val="3"/>
                <c:pt idx="0">
                  <c:v>124.85</c:v>
                </c:pt>
                <c:pt idx="1">
                  <c:v>770.75</c:v>
                </c:pt>
                <c:pt idx="2">
                  <c:v>18.489999999999998</c:v>
                </c:pt>
              </c:numCache>
            </c:numRef>
          </c:val>
          <c:extLst>
            <c:ext xmlns:c16="http://schemas.microsoft.com/office/drawing/2014/chart" uri="{C3380CC4-5D6E-409C-BE32-E72D297353CC}">
              <c16:uniqueId val="{00000006-1EF5-41B2-A22F-4B1B02F58162}"/>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F24E5FF001F4194E831B633ED97E6" ma:contentTypeVersion="10" ma:contentTypeDescription="Create a new document." ma:contentTypeScope="" ma:versionID="2816a45059896484468c36114a3b9fe1">
  <xsd:schema xmlns:xsd="http://www.w3.org/2001/XMLSchema" xmlns:xs="http://www.w3.org/2001/XMLSchema" xmlns:p="http://schemas.microsoft.com/office/2006/metadata/properties" xmlns:ns2="2c65b3ed-0a7f-45f0-a0c0-291e28d3c29d" targetNamespace="http://schemas.microsoft.com/office/2006/metadata/properties" ma:root="true" ma:fieldsID="ccd959021dd687cd9707e5ae53fa4261" ns2:_="">
    <xsd:import namespace="2c65b3ed-0a7f-45f0-a0c0-291e28d3c2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5b3ed-0a7f-45f0-a0c0-291e28d3c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8AA87-06B5-4301-9F6B-86DB876463F7}">
  <ds:schemaRefs>
    <ds:schemaRef ds:uri="http://schemas.microsoft.com/sharepoint/v3/contenttype/forms"/>
  </ds:schemaRefs>
</ds:datastoreItem>
</file>

<file path=customXml/itemProps2.xml><?xml version="1.0" encoding="utf-8"?>
<ds:datastoreItem xmlns:ds="http://schemas.openxmlformats.org/officeDocument/2006/customXml" ds:itemID="{AEC0A7B0-5733-4E0B-B5CF-B79B20CE0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5b3ed-0a7f-45f0-a0c0-291e28d3c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7810D-9A1E-46A7-B70C-AB3315B193CE}">
  <ds:schemaRefs>
    <ds:schemaRef ds:uri="http://schemas.openxmlformats.org/officeDocument/2006/bibliography"/>
  </ds:schemaRefs>
</ds:datastoreItem>
</file>

<file path=customXml/itemProps4.xml><?xml version="1.0" encoding="utf-8"?>
<ds:datastoreItem xmlns:ds="http://schemas.openxmlformats.org/officeDocument/2006/customXml" ds:itemID="{958E3B2E-4104-435C-96B1-8A8D197175DD}">
  <ds:schemaRefs>
    <ds:schemaRef ds:uri="2c65b3ed-0a7f-45f0-a0c0-291e28d3c29d"/>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 Ali</dc:creator>
  <cp:keywords/>
  <dc:description/>
  <cp:lastModifiedBy>Amanda Mazzoni</cp:lastModifiedBy>
  <cp:revision>160</cp:revision>
  <dcterms:created xsi:type="dcterms:W3CDTF">2021-05-08T06:33:00Z</dcterms:created>
  <dcterms:modified xsi:type="dcterms:W3CDTF">2021-05-12T20:34:00Z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0x010100223F24E5FF001F4194E831B633ED97E6</vt:lpwstr>
  </property>
</Properties>
</file>