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F89B6" w14:textId="77777777" w:rsidR="002C4A20" w:rsidRDefault="002C4A20">
      <w:pPr>
        <w:spacing w:line="480" w:lineRule="auto"/>
        <w:rPr>
          <w:rFonts w:ascii="Times New Roman" w:eastAsia="Times New Roman" w:hAnsi="Times New Roman" w:cs="Times New Roman"/>
          <w:b/>
          <w:color w:val="38761D"/>
          <w:sz w:val="24"/>
          <w:szCs w:val="24"/>
        </w:rPr>
      </w:pPr>
    </w:p>
    <w:p w14:paraId="3F02F78A" w14:textId="77777777" w:rsidR="002C4A20" w:rsidRDefault="002C4A20">
      <w:pPr>
        <w:spacing w:line="480" w:lineRule="auto"/>
        <w:jc w:val="center"/>
        <w:rPr>
          <w:rFonts w:ascii="Times New Roman" w:eastAsia="Times New Roman" w:hAnsi="Times New Roman" w:cs="Times New Roman"/>
          <w:b/>
          <w:sz w:val="24"/>
          <w:szCs w:val="24"/>
        </w:rPr>
      </w:pPr>
    </w:p>
    <w:p w14:paraId="6FDF3C9A" w14:textId="77777777" w:rsidR="002C4A20" w:rsidRDefault="002C4A20">
      <w:pPr>
        <w:spacing w:line="480" w:lineRule="auto"/>
        <w:jc w:val="center"/>
        <w:rPr>
          <w:rFonts w:ascii="Times New Roman" w:eastAsia="Times New Roman" w:hAnsi="Times New Roman" w:cs="Times New Roman"/>
          <w:b/>
          <w:sz w:val="24"/>
          <w:szCs w:val="24"/>
        </w:rPr>
      </w:pPr>
    </w:p>
    <w:p w14:paraId="6224C71F" w14:textId="77777777" w:rsidR="002C4A20" w:rsidRDefault="002C4A20">
      <w:pPr>
        <w:spacing w:line="480" w:lineRule="auto"/>
        <w:jc w:val="center"/>
        <w:rPr>
          <w:rFonts w:ascii="Times New Roman" w:eastAsia="Times New Roman" w:hAnsi="Times New Roman" w:cs="Times New Roman"/>
          <w:b/>
          <w:sz w:val="24"/>
          <w:szCs w:val="24"/>
        </w:rPr>
      </w:pPr>
    </w:p>
    <w:p w14:paraId="37F7CEBF" w14:textId="77777777" w:rsidR="002C4A20" w:rsidRDefault="002C4A20">
      <w:pPr>
        <w:spacing w:line="480" w:lineRule="auto"/>
        <w:jc w:val="center"/>
        <w:rPr>
          <w:rFonts w:ascii="Times New Roman" w:eastAsia="Times New Roman" w:hAnsi="Times New Roman" w:cs="Times New Roman"/>
          <w:b/>
          <w:sz w:val="24"/>
          <w:szCs w:val="24"/>
        </w:rPr>
      </w:pPr>
    </w:p>
    <w:p w14:paraId="38C3511A" w14:textId="77777777" w:rsidR="002C4A20" w:rsidRDefault="002C4A20">
      <w:pPr>
        <w:spacing w:line="480" w:lineRule="auto"/>
        <w:jc w:val="center"/>
        <w:rPr>
          <w:rFonts w:ascii="Times New Roman" w:eastAsia="Times New Roman" w:hAnsi="Times New Roman" w:cs="Times New Roman"/>
          <w:b/>
          <w:sz w:val="24"/>
          <w:szCs w:val="24"/>
        </w:rPr>
      </w:pPr>
    </w:p>
    <w:p w14:paraId="380B1283" w14:textId="77777777" w:rsidR="002C4A20" w:rsidRDefault="002C4A20">
      <w:pPr>
        <w:spacing w:line="480" w:lineRule="auto"/>
        <w:jc w:val="center"/>
        <w:rPr>
          <w:rFonts w:ascii="Times New Roman" w:eastAsia="Times New Roman" w:hAnsi="Times New Roman" w:cs="Times New Roman"/>
          <w:b/>
          <w:sz w:val="24"/>
          <w:szCs w:val="24"/>
        </w:rPr>
      </w:pPr>
    </w:p>
    <w:p w14:paraId="1BD1EAAF" w14:textId="77777777" w:rsidR="002C4A20" w:rsidRDefault="002C4A20">
      <w:pPr>
        <w:spacing w:line="480" w:lineRule="auto"/>
        <w:jc w:val="center"/>
        <w:rPr>
          <w:rFonts w:ascii="Times New Roman" w:eastAsia="Times New Roman" w:hAnsi="Times New Roman" w:cs="Times New Roman"/>
          <w:b/>
          <w:sz w:val="24"/>
          <w:szCs w:val="24"/>
        </w:rPr>
      </w:pPr>
    </w:p>
    <w:p w14:paraId="5F24ECCD" w14:textId="77777777" w:rsidR="002C4A20" w:rsidRDefault="004E215C">
      <w:pPr>
        <w:spacing w:line="480" w:lineRule="auto"/>
        <w:jc w:val="center"/>
        <w:rPr>
          <w:rFonts w:ascii="Times New Roman" w:eastAsia="Times New Roman" w:hAnsi="Times New Roman" w:cs="Times New Roman"/>
          <w:b/>
          <w:color w:val="38761D"/>
          <w:sz w:val="30"/>
          <w:szCs w:val="30"/>
        </w:rPr>
      </w:pPr>
      <w:r>
        <w:rPr>
          <w:rFonts w:ascii="Times New Roman" w:eastAsia="Times New Roman" w:hAnsi="Times New Roman" w:cs="Times New Roman"/>
          <w:b/>
          <w:color w:val="38761D"/>
          <w:sz w:val="30"/>
          <w:szCs w:val="30"/>
        </w:rPr>
        <w:t>Village of Aurora, New York: 2022 Municipal Greenhouse Gas Inventory</w:t>
      </w:r>
    </w:p>
    <w:p w14:paraId="269D5B47" w14:textId="77777777" w:rsidR="002C4A20" w:rsidRDefault="004E215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Spring of 2023 by:</w:t>
      </w:r>
    </w:p>
    <w:p w14:paraId="7DC36E5C" w14:textId="77777777" w:rsidR="002C4A20" w:rsidRDefault="004E215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Eden Gardner, Lily John, Mackinzee Macho, Ethan McDevitt, Eldon Montague, Jade Nguyen</w:t>
      </w:r>
    </w:p>
    <w:p w14:paraId="4D6DA8C5" w14:textId="77777777" w:rsidR="002C4A20" w:rsidRDefault="004E215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SUNY College of Environmental Science and Forestry</w:t>
      </w:r>
    </w:p>
    <w:p w14:paraId="02F07665" w14:textId="77777777" w:rsidR="002C4A20" w:rsidRDefault="004E215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 427: Environmental Energy and Auditing</w:t>
      </w:r>
    </w:p>
    <w:p w14:paraId="5DFAB896" w14:textId="77777777" w:rsidR="002C4A20" w:rsidRDefault="004E215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Joshua Cousins</w:t>
      </w:r>
    </w:p>
    <w:p w14:paraId="76883FA9" w14:textId="77777777" w:rsidR="002C4A20" w:rsidRDefault="002C4A20">
      <w:pPr>
        <w:spacing w:line="480" w:lineRule="auto"/>
        <w:rPr>
          <w:rFonts w:ascii="Times New Roman" w:eastAsia="Times New Roman" w:hAnsi="Times New Roman" w:cs="Times New Roman"/>
          <w:b/>
          <w:sz w:val="24"/>
          <w:szCs w:val="24"/>
        </w:rPr>
      </w:pPr>
    </w:p>
    <w:p w14:paraId="63FF4030" w14:textId="77777777" w:rsidR="002C4A20" w:rsidRDefault="002C4A20">
      <w:pPr>
        <w:spacing w:line="480" w:lineRule="auto"/>
        <w:rPr>
          <w:rFonts w:ascii="Times New Roman" w:eastAsia="Times New Roman" w:hAnsi="Times New Roman" w:cs="Times New Roman"/>
          <w:b/>
          <w:sz w:val="24"/>
          <w:szCs w:val="24"/>
        </w:rPr>
      </w:pPr>
    </w:p>
    <w:p w14:paraId="524E4CC6" w14:textId="77777777" w:rsidR="002C4A20" w:rsidRDefault="002C4A20">
      <w:pPr>
        <w:spacing w:line="480" w:lineRule="auto"/>
        <w:rPr>
          <w:rFonts w:ascii="Times New Roman" w:eastAsia="Times New Roman" w:hAnsi="Times New Roman" w:cs="Times New Roman"/>
          <w:b/>
          <w:sz w:val="24"/>
          <w:szCs w:val="24"/>
        </w:rPr>
      </w:pPr>
    </w:p>
    <w:p w14:paraId="20E431E1" w14:textId="77777777" w:rsidR="002C4A20" w:rsidRDefault="002C4A20">
      <w:pPr>
        <w:spacing w:line="480" w:lineRule="auto"/>
        <w:rPr>
          <w:rFonts w:ascii="Times New Roman" w:eastAsia="Times New Roman" w:hAnsi="Times New Roman" w:cs="Times New Roman"/>
          <w:b/>
          <w:sz w:val="24"/>
          <w:szCs w:val="24"/>
        </w:rPr>
      </w:pPr>
    </w:p>
    <w:p w14:paraId="6D5A586E" w14:textId="77777777" w:rsidR="002C4A20" w:rsidRDefault="002C4A20">
      <w:pPr>
        <w:spacing w:line="480" w:lineRule="auto"/>
        <w:rPr>
          <w:rFonts w:ascii="Times New Roman" w:eastAsia="Times New Roman" w:hAnsi="Times New Roman" w:cs="Times New Roman"/>
          <w:b/>
          <w:sz w:val="24"/>
          <w:szCs w:val="24"/>
        </w:rPr>
      </w:pPr>
    </w:p>
    <w:p w14:paraId="3DFF700B" w14:textId="77777777" w:rsidR="002C4A20" w:rsidRDefault="002C4A20">
      <w:pPr>
        <w:spacing w:line="480" w:lineRule="auto"/>
        <w:rPr>
          <w:rFonts w:ascii="Times New Roman" w:eastAsia="Times New Roman" w:hAnsi="Times New Roman" w:cs="Times New Roman"/>
          <w:b/>
          <w:sz w:val="24"/>
          <w:szCs w:val="24"/>
        </w:rPr>
      </w:pPr>
    </w:p>
    <w:p w14:paraId="0B7A280C" w14:textId="77777777" w:rsidR="002C4A20" w:rsidRDefault="002C4A20">
      <w:pPr>
        <w:spacing w:line="480" w:lineRule="auto"/>
        <w:rPr>
          <w:rFonts w:ascii="Times New Roman" w:eastAsia="Times New Roman" w:hAnsi="Times New Roman" w:cs="Times New Roman"/>
          <w:b/>
          <w:sz w:val="24"/>
          <w:szCs w:val="24"/>
        </w:rPr>
      </w:pPr>
    </w:p>
    <w:p w14:paraId="685F03DD" w14:textId="77777777" w:rsidR="002C4A20" w:rsidRDefault="002C4A20">
      <w:pPr>
        <w:spacing w:line="480" w:lineRule="auto"/>
        <w:rPr>
          <w:rFonts w:ascii="Times New Roman" w:eastAsia="Times New Roman" w:hAnsi="Times New Roman" w:cs="Times New Roman"/>
          <w:b/>
          <w:sz w:val="24"/>
          <w:szCs w:val="24"/>
        </w:rPr>
      </w:pPr>
    </w:p>
    <w:p w14:paraId="20241545" w14:textId="77777777" w:rsidR="002C4A20" w:rsidRDefault="002C4A20">
      <w:pPr>
        <w:spacing w:line="480" w:lineRule="auto"/>
        <w:rPr>
          <w:rFonts w:ascii="Times New Roman" w:eastAsia="Times New Roman" w:hAnsi="Times New Roman" w:cs="Times New Roman"/>
          <w:b/>
          <w:sz w:val="24"/>
          <w:szCs w:val="24"/>
        </w:rPr>
      </w:pPr>
    </w:p>
    <w:p w14:paraId="2350C5B2" w14:textId="77777777" w:rsidR="002C4A20" w:rsidRDefault="004E215C">
      <w:pPr>
        <w:pStyle w:val="Heading1"/>
        <w:spacing w:after="0" w:line="360" w:lineRule="auto"/>
        <w:rPr>
          <w:rFonts w:ascii="Times New Roman" w:eastAsia="Times New Roman" w:hAnsi="Times New Roman" w:cs="Times New Roman"/>
          <w:color w:val="38761D"/>
          <w:sz w:val="28"/>
          <w:szCs w:val="28"/>
        </w:rPr>
      </w:pPr>
      <w:bookmarkStart w:id="0" w:name="_vm91nblg4i3e" w:colFirst="0" w:colLast="0"/>
      <w:bookmarkEnd w:id="0"/>
      <w:r>
        <w:rPr>
          <w:rFonts w:ascii="Times New Roman" w:eastAsia="Times New Roman" w:hAnsi="Times New Roman" w:cs="Times New Roman"/>
          <w:color w:val="38761D"/>
          <w:sz w:val="28"/>
          <w:szCs w:val="28"/>
        </w:rPr>
        <w:t>Executive Summary</w:t>
      </w:r>
    </w:p>
    <w:p w14:paraId="6CBCF808"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contents of this document include the methods, results, analysis, and recommendations for the Municipal Greenho</w:t>
      </w:r>
      <w:r>
        <w:rPr>
          <w:rFonts w:ascii="Times New Roman" w:eastAsia="Times New Roman" w:hAnsi="Times New Roman" w:cs="Times New Roman"/>
          <w:sz w:val="24"/>
          <w:szCs w:val="24"/>
        </w:rPr>
        <w:t xml:space="preserve">use Gas Inventory for the Village of Aurora. This report was made possible by our professor, Dr. Joshua Cousins, our connections with Michael </w:t>
      </w:r>
      <w:proofErr w:type="spellStart"/>
      <w:r>
        <w:rPr>
          <w:rFonts w:ascii="Times New Roman" w:eastAsia="Times New Roman" w:hAnsi="Times New Roman" w:cs="Times New Roman"/>
          <w:sz w:val="24"/>
          <w:szCs w:val="24"/>
        </w:rPr>
        <w:t>Bocuzzi</w:t>
      </w:r>
      <w:proofErr w:type="spellEnd"/>
      <w:r>
        <w:rPr>
          <w:rFonts w:ascii="Times New Roman" w:eastAsia="Times New Roman" w:hAnsi="Times New Roman" w:cs="Times New Roman"/>
          <w:sz w:val="24"/>
          <w:szCs w:val="24"/>
        </w:rPr>
        <w:t xml:space="preserve"> and Amanda Mazzoni at the Central New York Regional Planning and Development Board, and the willingness of</w:t>
      </w:r>
      <w:r>
        <w:rPr>
          <w:rFonts w:ascii="Times New Roman" w:eastAsia="Times New Roman" w:hAnsi="Times New Roman" w:cs="Times New Roman"/>
          <w:sz w:val="24"/>
          <w:szCs w:val="24"/>
        </w:rPr>
        <w:t xml:space="preserve"> the Village of Aurora to take these next steps towards sustainability. We also extend our gratitude to Jim Yienger at Climate Action Associates for creating the useful GHG inventory tool. </w:t>
      </w:r>
    </w:p>
    <w:p w14:paraId="288437DB"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inputting the municipal energy, fuel, and cost data in the </w:t>
      </w:r>
      <w:r>
        <w:rPr>
          <w:rFonts w:ascii="Times New Roman" w:eastAsia="Times New Roman" w:hAnsi="Times New Roman" w:cs="Times New Roman"/>
          <w:sz w:val="24"/>
          <w:szCs w:val="24"/>
        </w:rPr>
        <w:t xml:space="preserve">inventory tool, our results pointed to two sources that release the most greenhouse </w:t>
      </w:r>
      <w:proofErr w:type="gramStart"/>
      <w:r>
        <w:rPr>
          <w:rFonts w:ascii="Times New Roman" w:eastAsia="Times New Roman" w:hAnsi="Times New Roman" w:cs="Times New Roman"/>
          <w:sz w:val="24"/>
          <w:szCs w:val="24"/>
        </w:rPr>
        <w:t>gasses</w:t>
      </w:r>
      <w:proofErr w:type="gramEnd"/>
      <w:r>
        <w:rPr>
          <w:rFonts w:ascii="Times New Roman" w:eastAsia="Times New Roman" w:hAnsi="Times New Roman" w:cs="Times New Roman"/>
          <w:sz w:val="24"/>
          <w:szCs w:val="24"/>
        </w:rPr>
        <w:t xml:space="preserve"> and cost the most for the Village: the firehouse and wastewater treatment plant. The firehouse costs over $13,000 for heating oil in 2022, releasing 37.2 MTCO2e. The</w:t>
      </w:r>
      <w:r>
        <w:rPr>
          <w:rFonts w:ascii="Times New Roman" w:eastAsia="Times New Roman" w:hAnsi="Times New Roman" w:cs="Times New Roman"/>
          <w:sz w:val="24"/>
          <w:szCs w:val="24"/>
        </w:rPr>
        <w:t xml:space="preserve"> wastewater treatment plant takes 308,000 KWH of electricity to operate, costing the Village of Aurora almost $25,000 and releasing 32.8 MTCO2e.</w:t>
      </w:r>
    </w:p>
    <w:p w14:paraId="735F843A"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recommendations include Climate Smart Communities (CSC) compliance and specific emissions reductions strat</w:t>
      </w:r>
      <w:r>
        <w:rPr>
          <w:rFonts w:ascii="Times New Roman" w:eastAsia="Times New Roman" w:hAnsi="Times New Roman" w:cs="Times New Roman"/>
          <w:sz w:val="24"/>
          <w:szCs w:val="24"/>
        </w:rPr>
        <w:t>egies. If the Village of Aurora wants to take advantage of all that CSC has to offer, they are required to create a CSC Task Force and Coordinator to create priorities for the Village’s emissions reductions. The Village may submit a Government Operations G</w:t>
      </w:r>
      <w:r>
        <w:rPr>
          <w:rFonts w:ascii="Times New Roman" w:eastAsia="Times New Roman" w:hAnsi="Times New Roman" w:cs="Times New Roman"/>
          <w:sz w:val="24"/>
          <w:szCs w:val="24"/>
        </w:rPr>
        <w:t>reenhouse Gas Inventory to CSC that uses the data and analysis contained in this report. A Government Operations Climate Action is a great next step after the inventory submission as it lays out initiatives to reduce the municipality’s emissions and costs.</w:t>
      </w:r>
      <w:r>
        <w:rPr>
          <w:rFonts w:ascii="Times New Roman" w:eastAsia="Times New Roman" w:hAnsi="Times New Roman" w:cs="Times New Roman"/>
          <w:sz w:val="24"/>
          <w:szCs w:val="24"/>
        </w:rPr>
        <w:t xml:space="preserve"> If the Village wants to take their climate action a step further, they may collect community energy and fuel use data to see a comprehensive picture of the whole Village’s climate change impacts. Lastly, the Village of Aurora may choose to input municipal</w:t>
      </w:r>
      <w:r>
        <w:rPr>
          <w:rFonts w:ascii="Times New Roman" w:eastAsia="Times New Roman" w:hAnsi="Times New Roman" w:cs="Times New Roman"/>
          <w:sz w:val="24"/>
          <w:szCs w:val="24"/>
        </w:rPr>
        <w:t xml:space="preserve"> GHG and energy data from preceding years into the ‘Jim” tool to understand their emissions and energy consumption trends.</w:t>
      </w:r>
    </w:p>
    <w:p w14:paraId="3260A3B3"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As the wastewater treatment plant and firehouse are the most climate and financially costly buildings, it is recommended to shift away from fossil fuels and towards sustainable energies. The firehouse may turn to heat pumps or geothermal heat pumps to heat</w:t>
      </w:r>
      <w:r>
        <w:rPr>
          <w:rFonts w:ascii="Times New Roman" w:eastAsia="Times New Roman" w:hAnsi="Times New Roman" w:cs="Times New Roman"/>
          <w:sz w:val="24"/>
          <w:szCs w:val="24"/>
        </w:rPr>
        <w:t xml:space="preserve"> the building. This not only would reduce emissions but also costs tremendously for the Village. The wastewater treatment plant may be audited to find where the Village can increase efficiency and reduce costs. Although municipal vehicles make up a smaller</w:t>
      </w:r>
      <w:r>
        <w:rPr>
          <w:rFonts w:ascii="Times New Roman" w:eastAsia="Times New Roman" w:hAnsi="Times New Roman" w:cs="Times New Roman"/>
          <w:sz w:val="24"/>
          <w:szCs w:val="24"/>
        </w:rPr>
        <w:t xml:space="preserve"> portion of the Village’s GHG emissions, Climate Smart Communities offers rebates for municipalities purchasing full electric, hybrid, or hydrogen-powered vehicles- or Zero Emission Vehicles (ZEVs) if the Village is interested. Lastly, there is </w:t>
      </w:r>
      <w:proofErr w:type="gramStart"/>
      <w:r>
        <w:rPr>
          <w:rFonts w:ascii="Times New Roman" w:eastAsia="Times New Roman" w:hAnsi="Times New Roman" w:cs="Times New Roman"/>
          <w:sz w:val="24"/>
          <w:szCs w:val="24"/>
        </w:rPr>
        <w:t>opportunity</w:t>
      </w:r>
      <w:proofErr w:type="gramEnd"/>
      <w:r>
        <w:rPr>
          <w:rFonts w:ascii="Times New Roman" w:eastAsia="Times New Roman" w:hAnsi="Times New Roman" w:cs="Times New Roman"/>
          <w:sz w:val="24"/>
          <w:szCs w:val="24"/>
        </w:rPr>
        <w:t xml:space="preserve"> for collaboration with Wells College in reducing the whole community’s emissions.</w:t>
      </w:r>
    </w:p>
    <w:p w14:paraId="4074E2F8" w14:textId="77777777" w:rsidR="002C4A20" w:rsidRDefault="004E215C">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The Village of Aurora is commendable for their interest in reducing emissions and doing their part to combat climate change. There are many areas for improvement and the Cli</w:t>
      </w:r>
      <w:r>
        <w:rPr>
          <w:rFonts w:ascii="Times New Roman" w:eastAsia="Times New Roman" w:hAnsi="Times New Roman" w:cs="Times New Roman"/>
          <w:sz w:val="24"/>
          <w:szCs w:val="24"/>
        </w:rPr>
        <w:t xml:space="preserve">mate Smart Communities programs offers aid that is integral for communities mitigating and adapting </w:t>
      </w:r>
      <w:r>
        <w:rPr>
          <w:rFonts w:ascii="Times New Roman" w:eastAsia="Times New Roman" w:hAnsi="Times New Roman" w:cs="Times New Roman"/>
          <w:sz w:val="24"/>
          <w:szCs w:val="24"/>
        </w:rPr>
        <w:lastRenderedPageBreak/>
        <w:t>to climate change. The Village of Aurora is becoming a leader in combating climate change for New York State and their community.</w:t>
      </w:r>
    </w:p>
    <w:p w14:paraId="5F340EDF" w14:textId="77777777" w:rsidR="002C4A20" w:rsidRDefault="002C4A20">
      <w:pPr>
        <w:spacing w:line="480" w:lineRule="auto"/>
        <w:rPr>
          <w:rFonts w:ascii="Times New Roman" w:eastAsia="Times New Roman" w:hAnsi="Times New Roman" w:cs="Times New Roman"/>
          <w:b/>
          <w:sz w:val="24"/>
          <w:szCs w:val="24"/>
        </w:rPr>
      </w:pPr>
    </w:p>
    <w:p w14:paraId="6B2B657D" w14:textId="77777777" w:rsidR="002C4A20" w:rsidRDefault="004E215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sdt>
      <w:sdtPr>
        <w:id w:val="-1010670819"/>
        <w:docPartObj>
          <w:docPartGallery w:val="Table of Contents"/>
          <w:docPartUnique/>
        </w:docPartObj>
      </w:sdtPr>
      <w:sdtEndPr/>
      <w:sdtContent>
        <w:p w14:paraId="7AE15C80" w14:textId="77777777" w:rsidR="002C4A20" w:rsidRDefault="004E215C">
          <w:pPr>
            <w:widowControl w:val="0"/>
            <w:tabs>
              <w:tab w:val="right" w:leader="dot" w:pos="12000"/>
            </w:tabs>
            <w:spacing w:before="60" w:line="240" w:lineRule="auto"/>
            <w:rPr>
              <w:b/>
              <w:color w:val="000000"/>
            </w:rPr>
          </w:pPr>
          <w:r>
            <w:fldChar w:fldCharType="begin"/>
          </w:r>
          <w:r>
            <w:instrText xml:space="preserve"> TOC \h</w:instrText>
          </w:r>
          <w:r>
            <w:instrText xml:space="preserve"> \u \z \t "Heading 1,1,Heading 2,2,Heading 3,3,Heading 4,4,Heading 5,5,Heading 6,6,"</w:instrText>
          </w:r>
          <w:r>
            <w:fldChar w:fldCharType="separate"/>
          </w:r>
          <w:hyperlink w:anchor="_vm91nblg4i3e">
            <w:r>
              <w:rPr>
                <w:rFonts w:ascii="Times New Roman" w:eastAsia="Times New Roman" w:hAnsi="Times New Roman" w:cs="Times New Roman"/>
                <w:b/>
                <w:color w:val="000000"/>
                <w:sz w:val="24"/>
                <w:szCs w:val="24"/>
              </w:rPr>
              <w:t>Executive Summary</w:t>
            </w:r>
            <w:r>
              <w:rPr>
                <w:rFonts w:ascii="Times New Roman" w:eastAsia="Times New Roman" w:hAnsi="Times New Roman" w:cs="Times New Roman"/>
                <w:b/>
                <w:color w:val="000000"/>
                <w:sz w:val="24"/>
                <w:szCs w:val="24"/>
              </w:rPr>
              <w:tab/>
              <w:t>2</w:t>
            </w:r>
          </w:hyperlink>
        </w:p>
        <w:p w14:paraId="32A69083" w14:textId="77777777" w:rsidR="002C4A20" w:rsidRDefault="004E215C">
          <w:pPr>
            <w:widowControl w:val="0"/>
            <w:tabs>
              <w:tab w:val="right" w:leader="dot" w:pos="12000"/>
            </w:tabs>
            <w:spacing w:before="60" w:line="240" w:lineRule="auto"/>
            <w:rPr>
              <w:b/>
              <w:color w:val="000000"/>
            </w:rPr>
          </w:pPr>
          <w:hyperlink w:anchor="_hhtzvz250ztg">
            <w:r>
              <w:rPr>
                <w:rFonts w:ascii="Times New Roman" w:eastAsia="Times New Roman" w:hAnsi="Times New Roman" w:cs="Times New Roman"/>
                <w:b/>
                <w:color w:val="000000"/>
                <w:sz w:val="24"/>
                <w:szCs w:val="24"/>
              </w:rPr>
              <w:t>Acknowledgments</w:t>
            </w:r>
            <w:r>
              <w:rPr>
                <w:rFonts w:ascii="Times New Roman" w:eastAsia="Times New Roman" w:hAnsi="Times New Roman" w:cs="Times New Roman"/>
                <w:b/>
                <w:color w:val="000000"/>
                <w:sz w:val="24"/>
                <w:szCs w:val="24"/>
              </w:rPr>
              <w:tab/>
              <w:t>4</w:t>
            </w:r>
          </w:hyperlink>
        </w:p>
        <w:p w14:paraId="3B02CEBA" w14:textId="77777777" w:rsidR="002C4A20" w:rsidRDefault="004E215C">
          <w:pPr>
            <w:widowControl w:val="0"/>
            <w:tabs>
              <w:tab w:val="right" w:leader="dot" w:pos="12000"/>
            </w:tabs>
            <w:spacing w:before="60" w:line="240" w:lineRule="auto"/>
            <w:rPr>
              <w:b/>
              <w:color w:val="000000"/>
            </w:rPr>
          </w:pPr>
          <w:hyperlink w:anchor="_f72aoom580l4">
            <w:r>
              <w:rPr>
                <w:rFonts w:ascii="Times New Roman" w:eastAsia="Times New Roman" w:hAnsi="Times New Roman" w:cs="Times New Roman"/>
                <w:b/>
                <w:color w:val="000000"/>
                <w:sz w:val="24"/>
                <w:szCs w:val="24"/>
              </w:rPr>
              <w:t>Introduction</w:t>
            </w:r>
            <w:r>
              <w:rPr>
                <w:rFonts w:ascii="Times New Roman" w:eastAsia="Times New Roman" w:hAnsi="Times New Roman" w:cs="Times New Roman"/>
                <w:b/>
                <w:color w:val="000000"/>
                <w:sz w:val="24"/>
                <w:szCs w:val="24"/>
              </w:rPr>
              <w:tab/>
              <w:t>5</w:t>
            </w:r>
          </w:hyperlink>
        </w:p>
        <w:p w14:paraId="75C186F1" w14:textId="77777777" w:rsidR="002C4A20" w:rsidRDefault="004E215C">
          <w:pPr>
            <w:widowControl w:val="0"/>
            <w:tabs>
              <w:tab w:val="right" w:leader="dot" w:pos="12000"/>
            </w:tabs>
            <w:spacing w:before="60" w:line="240" w:lineRule="auto"/>
            <w:rPr>
              <w:b/>
              <w:color w:val="000000"/>
            </w:rPr>
          </w:pPr>
          <w:hyperlink w:anchor="_602yb05upgbo">
            <w:r>
              <w:rPr>
                <w:rFonts w:ascii="Times New Roman" w:eastAsia="Times New Roman" w:hAnsi="Times New Roman" w:cs="Times New Roman"/>
                <w:b/>
                <w:color w:val="000000"/>
                <w:sz w:val="24"/>
                <w:szCs w:val="24"/>
              </w:rPr>
              <w:t>Methods</w:t>
            </w:r>
            <w:r>
              <w:rPr>
                <w:rFonts w:ascii="Times New Roman" w:eastAsia="Times New Roman" w:hAnsi="Times New Roman" w:cs="Times New Roman"/>
                <w:b/>
                <w:color w:val="000000"/>
                <w:sz w:val="24"/>
                <w:szCs w:val="24"/>
              </w:rPr>
              <w:tab/>
              <w:t>6</w:t>
            </w:r>
          </w:hyperlink>
        </w:p>
        <w:p w14:paraId="1C62AF6F" w14:textId="77777777" w:rsidR="002C4A20" w:rsidRDefault="004E215C">
          <w:pPr>
            <w:widowControl w:val="0"/>
            <w:tabs>
              <w:tab w:val="right" w:leader="dot" w:pos="12000"/>
            </w:tabs>
            <w:spacing w:before="60" w:line="240" w:lineRule="auto"/>
            <w:rPr>
              <w:b/>
              <w:color w:val="000000"/>
            </w:rPr>
          </w:pPr>
          <w:hyperlink w:anchor="_mq9jr0vgmkpf">
            <w:r>
              <w:rPr>
                <w:rFonts w:ascii="Times New Roman" w:eastAsia="Times New Roman" w:hAnsi="Times New Roman" w:cs="Times New Roman"/>
                <w:b/>
                <w:color w:val="000000"/>
                <w:sz w:val="24"/>
                <w:szCs w:val="24"/>
              </w:rPr>
              <w:t>Emissions Results and Discussion by Sector</w:t>
            </w:r>
            <w:r>
              <w:rPr>
                <w:rFonts w:ascii="Times New Roman" w:eastAsia="Times New Roman" w:hAnsi="Times New Roman" w:cs="Times New Roman"/>
                <w:b/>
                <w:color w:val="000000"/>
                <w:sz w:val="24"/>
                <w:szCs w:val="24"/>
              </w:rPr>
              <w:tab/>
              <w:t>8</w:t>
            </w:r>
          </w:hyperlink>
        </w:p>
        <w:p w14:paraId="10F0EDC0" w14:textId="77777777" w:rsidR="002C4A20" w:rsidRDefault="004E215C">
          <w:pPr>
            <w:widowControl w:val="0"/>
            <w:tabs>
              <w:tab w:val="right" w:leader="dot" w:pos="12000"/>
            </w:tabs>
            <w:spacing w:before="60" w:line="240" w:lineRule="auto"/>
            <w:ind w:left="360"/>
            <w:rPr>
              <w:color w:val="000000"/>
            </w:rPr>
          </w:pPr>
          <w:hyperlink w:anchor="_r8nml28tnvzm">
            <w:r>
              <w:rPr>
                <w:rFonts w:ascii="Times New Roman" w:eastAsia="Times New Roman" w:hAnsi="Times New Roman" w:cs="Times New Roman"/>
                <w:color w:val="000000"/>
                <w:sz w:val="24"/>
                <w:szCs w:val="24"/>
              </w:rPr>
              <w:t>Vehicle Fleet</w:t>
            </w:r>
            <w:r>
              <w:rPr>
                <w:rFonts w:ascii="Times New Roman" w:eastAsia="Times New Roman" w:hAnsi="Times New Roman" w:cs="Times New Roman"/>
                <w:color w:val="000000"/>
                <w:sz w:val="24"/>
                <w:szCs w:val="24"/>
              </w:rPr>
              <w:tab/>
              <w:t>8</w:t>
            </w:r>
          </w:hyperlink>
        </w:p>
        <w:p w14:paraId="05DD899D" w14:textId="77777777" w:rsidR="002C4A20" w:rsidRDefault="004E215C">
          <w:pPr>
            <w:widowControl w:val="0"/>
            <w:tabs>
              <w:tab w:val="right" w:leader="dot" w:pos="12000"/>
            </w:tabs>
            <w:spacing w:before="60" w:line="240" w:lineRule="auto"/>
            <w:ind w:left="360"/>
            <w:rPr>
              <w:color w:val="000000"/>
            </w:rPr>
          </w:pPr>
          <w:hyperlink w:anchor="_fapma3gy87gy">
            <w:r>
              <w:rPr>
                <w:rFonts w:ascii="Times New Roman" w:eastAsia="Times New Roman" w:hAnsi="Times New Roman" w:cs="Times New Roman"/>
                <w:color w:val="000000"/>
                <w:sz w:val="24"/>
                <w:szCs w:val="24"/>
              </w:rPr>
              <w:t>Streetlights</w:t>
            </w:r>
            <w:r>
              <w:rPr>
                <w:rFonts w:ascii="Times New Roman" w:eastAsia="Times New Roman" w:hAnsi="Times New Roman" w:cs="Times New Roman"/>
                <w:color w:val="000000"/>
                <w:sz w:val="24"/>
                <w:szCs w:val="24"/>
              </w:rPr>
              <w:tab/>
              <w:t>8</w:t>
            </w:r>
          </w:hyperlink>
        </w:p>
        <w:p w14:paraId="1EF4FB9E" w14:textId="77777777" w:rsidR="002C4A20" w:rsidRDefault="004E215C">
          <w:pPr>
            <w:widowControl w:val="0"/>
            <w:tabs>
              <w:tab w:val="right" w:leader="dot" w:pos="12000"/>
            </w:tabs>
            <w:spacing w:before="60" w:line="240" w:lineRule="auto"/>
            <w:ind w:left="360"/>
            <w:rPr>
              <w:color w:val="000000"/>
            </w:rPr>
          </w:pPr>
          <w:hyperlink w:anchor="_vzxt2kfy9mac">
            <w:r>
              <w:rPr>
                <w:rFonts w:ascii="Times New Roman" w:eastAsia="Times New Roman" w:hAnsi="Times New Roman" w:cs="Times New Roman"/>
                <w:color w:val="000000"/>
                <w:sz w:val="24"/>
                <w:szCs w:val="24"/>
              </w:rPr>
              <w:t>Buildings and Facilities</w:t>
            </w:r>
            <w:r>
              <w:rPr>
                <w:rFonts w:ascii="Times New Roman" w:eastAsia="Times New Roman" w:hAnsi="Times New Roman" w:cs="Times New Roman"/>
                <w:color w:val="000000"/>
                <w:sz w:val="24"/>
                <w:szCs w:val="24"/>
              </w:rPr>
              <w:tab/>
              <w:t>9</w:t>
            </w:r>
          </w:hyperlink>
        </w:p>
        <w:p w14:paraId="37659CFD" w14:textId="77777777" w:rsidR="002C4A20" w:rsidRDefault="004E215C">
          <w:pPr>
            <w:widowControl w:val="0"/>
            <w:tabs>
              <w:tab w:val="right" w:leader="dot" w:pos="12000"/>
            </w:tabs>
            <w:spacing w:before="60" w:line="240" w:lineRule="auto"/>
            <w:ind w:left="360"/>
            <w:rPr>
              <w:color w:val="000000"/>
            </w:rPr>
          </w:pPr>
          <w:hyperlink w:anchor="_t1h6mzqawkc">
            <w:r>
              <w:rPr>
                <w:rFonts w:ascii="Times New Roman" w:eastAsia="Times New Roman" w:hAnsi="Times New Roman" w:cs="Times New Roman"/>
                <w:color w:val="000000"/>
                <w:sz w:val="24"/>
                <w:szCs w:val="24"/>
              </w:rPr>
              <w:t>Wastewater</w:t>
            </w:r>
            <w:r>
              <w:rPr>
                <w:rFonts w:ascii="Times New Roman" w:eastAsia="Times New Roman" w:hAnsi="Times New Roman" w:cs="Times New Roman"/>
                <w:color w:val="000000"/>
                <w:sz w:val="24"/>
                <w:szCs w:val="24"/>
              </w:rPr>
              <w:tab/>
              <w:t>9</w:t>
            </w:r>
          </w:hyperlink>
        </w:p>
        <w:p w14:paraId="50445F6A" w14:textId="77777777" w:rsidR="002C4A20" w:rsidRDefault="004E215C">
          <w:pPr>
            <w:widowControl w:val="0"/>
            <w:tabs>
              <w:tab w:val="right" w:leader="dot" w:pos="12000"/>
            </w:tabs>
            <w:spacing w:before="60" w:line="240" w:lineRule="auto"/>
            <w:ind w:left="360"/>
            <w:rPr>
              <w:color w:val="000000"/>
            </w:rPr>
          </w:pPr>
          <w:hyperlink w:anchor="_c3ozktk7ha9l">
            <w:r>
              <w:rPr>
                <w:rFonts w:ascii="Times New Roman" w:eastAsia="Times New Roman" w:hAnsi="Times New Roman" w:cs="Times New Roman"/>
                <w:color w:val="000000"/>
                <w:sz w:val="24"/>
                <w:szCs w:val="24"/>
              </w:rPr>
              <w:t>Tank fuels (propane/fuel oil)</w:t>
            </w:r>
            <w:r>
              <w:rPr>
                <w:rFonts w:ascii="Times New Roman" w:eastAsia="Times New Roman" w:hAnsi="Times New Roman" w:cs="Times New Roman"/>
                <w:color w:val="000000"/>
                <w:sz w:val="24"/>
                <w:szCs w:val="24"/>
              </w:rPr>
              <w:tab/>
              <w:t>9</w:t>
            </w:r>
          </w:hyperlink>
        </w:p>
        <w:p w14:paraId="6A0D469D" w14:textId="77777777" w:rsidR="002C4A20" w:rsidRDefault="004E215C">
          <w:pPr>
            <w:widowControl w:val="0"/>
            <w:tabs>
              <w:tab w:val="right" w:leader="dot" w:pos="12000"/>
            </w:tabs>
            <w:spacing w:before="60" w:line="240" w:lineRule="auto"/>
            <w:rPr>
              <w:b/>
              <w:color w:val="000000"/>
            </w:rPr>
          </w:pPr>
          <w:hyperlink w:anchor="_m3hny9q00scw">
            <w:r>
              <w:rPr>
                <w:rFonts w:ascii="Times New Roman" w:eastAsia="Times New Roman" w:hAnsi="Times New Roman" w:cs="Times New Roman"/>
                <w:b/>
                <w:color w:val="000000"/>
                <w:sz w:val="24"/>
                <w:szCs w:val="24"/>
              </w:rPr>
              <w:t>Cu</w:t>
            </w:r>
            <w:r>
              <w:rPr>
                <w:rFonts w:ascii="Times New Roman" w:eastAsia="Times New Roman" w:hAnsi="Times New Roman" w:cs="Times New Roman"/>
                <w:b/>
                <w:color w:val="000000"/>
                <w:sz w:val="24"/>
                <w:szCs w:val="24"/>
              </w:rPr>
              <w:t>mulative Emissions Results and Discussion</w:t>
            </w:r>
            <w:r>
              <w:rPr>
                <w:rFonts w:ascii="Times New Roman" w:eastAsia="Times New Roman" w:hAnsi="Times New Roman" w:cs="Times New Roman"/>
                <w:b/>
                <w:color w:val="000000"/>
                <w:sz w:val="24"/>
                <w:szCs w:val="24"/>
              </w:rPr>
              <w:tab/>
              <w:t>9</w:t>
            </w:r>
          </w:hyperlink>
        </w:p>
        <w:p w14:paraId="1A5ADE76" w14:textId="77777777" w:rsidR="002C4A20" w:rsidRDefault="004E215C">
          <w:pPr>
            <w:widowControl w:val="0"/>
            <w:tabs>
              <w:tab w:val="right" w:leader="dot" w:pos="12000"/>
            </w:tabs>
            <w:spacing w:before="60" w:line="240" w:lineRule="auto"/>
            <w:rPr>
              <w:b/>
              <w:color w:val="000000"/>
            </w:rPr>
          </w:pPr>
          <w:hyperlink w:anchor="_gm6i5uofabz2">
            <w:r>
              <w:rPr>
                <w:rFonts w:ascii="Times New Roman" w:eastAsia="Times New Roman" w:hAnsi="Times New Roman" w:cs="Times New Roman"/>
                <w:b/>
                <w:color w:val="000000"/>
                <w:sz w:val="24"/>
                <w:szCs w:val="24"/>
              </w:rPr>
              <w:t>Recommendations</w:t>
            </w:r>
            <w:r>
              <w:rPr>
                <w:rFonts w:ascii="Times New Roman" w:eastAsia="Times New Roman" w:hAnsi="Times New Roman" w:cs="Times New Roman"/>
                <w:b/>
                <w:color w:val="000000"/>
                <w:sz w:val="24"/>
                <w:szCs w:val="24"/>
              </w:rPr>
              <w:tab/>
              <w:t>13</w:t>
            </w:r>
          </w:hyperlink>
        </w:p>
        <w:p w14:paraId="2B151E26" w14:textId="77777777" w:rsidR="002C4A20" w:rsidRDefault="004E215C">
          <w:pPr>
            <w:widowControl w:val="0"/>
            <w:tabs>
              <w:tab w:val="right" w:leader="dot" w:pos="12000"/>
            </w:tabs>
            <w:spacing w:before="60" w:line="240" w:lineRule="auto"/>
            <w:rPr>
              <w:b/>
              <w:color w:val="000000"/>
            </w:rPr>
          </w:pPr>
          <w:hyperlink w:anchor="_rhymqnze0c4u">
            <w:r>
              <w:rPr>
                <w:rFonts w:ascii="Times New Roman" w:eastAsia="Times New Roman" w:hAnsi="Times New Roman" w:cs="Times New Roman"/>
                <w:b/>
                <w:color w:val="000000"/>
                <w:sz w:val="24"/>
                <w:szCs w:val="24"/>
              </w:rPr>
              <w:t>Conclusion</w:t>
            </w:r>
            <w:r>
              <w:rPr>
                <w:rFonts w:ascii="Times New Roman" w:eastAsia="Times New Roman" w:hAnsi="Times New Roman" w:cs="Times New Roman"/>
                <w:b/>
                <w:color w:val="000000"/>
                <w:sz w:val="24"/>
                <w:szCs w:val="24"/>
              </w:rPr>
              <w:tab/>
              <w:t>16</w:t>
            </w:r>
          </w:hyperlink>
          <w:r>
            <w:fldChar w:fldCharType="end"/>
          </w:r>
        </w:p>
      </w:sdtContent>
    </w:sdt>
    <w:p w14:paraId="64326401" w14:textId="77777777" w:rsidR="002C4A20" w:rsidRDefault="002C4A20">
      <w:pPr>
        <w:spacing w:line="480" w:lineRule="auto"/>
        <w:rPr>
          <w:rFonts w:ascii="Times New Roman" w:eastAsia="Times New Roman" w:hAnsi="Times New Roman" w:cs="Times New Roman"/>
          <w:b/>
          <w:sz w:val="24"/>
          <w:szCs w:val="24"/>
        </w:rPr>
      </w:pPr>
    </w:p>
    <w:p w14:paraId="7C337026" w14:textId="77777777" w:rsidR="002C4A20" w:rsidRDefault="002C4A20">
      <w:pPr>
        <w:spacing w:line="480" w:lineRule="auto"/>
        <w:rPr>
          <w:rFonts w:ascii="Times New Roman" w:eastAsia="Times New Roman" w:hAnsi="Times New Roman" w:cs="Times New Roman"/>
          <w:b/>
          <w:sz w:val="24"/>
          <w:szCs w:val="24"/>
        </w:rPr>
      </w:pPr>
    </w:p>
    <w:p w14:paraId="5C625053" w14:textId="77777777" w:rsidR="002C4A20" w:rsidRDefault="002C4A20">
      <w:pPr>
        <w:spacing w:line="480" w:lineRule="auto"/>
        <w:rPr>
          <w:rFonts w:ascii="Times New Roman" w:eastAsia="Times New Roman" w:hAnsi="Times New Roman" w:cs="Times New Roman"/>
          <w:b/>
          <w:sz w:val="24"/>
          <w:szCs w:val="24"/>
        </w:rPr>
      </w:pPr>
    </w:p>
    <w:p w14:paraId="42B056FF" w14:textId="77777777" w:rsidR="002C4A20" w:rsidRDefault="002C4A20">
      <w:pPr>
        <w:spacing w:line="480" w:lineRule="auto"/>
        <w:jc w:val="center"/>
        <w:rPr>
          <w:rFonts w:ascii="Times New Roman" w:eastAsia="Times New Roman" w:hAnsi="Times New Roman" w:cs="Times New Roman"/>
          <w:b/>
          <w:sz w:val="24"/>
          <w:szCs w:val="24"/>
        </w:rPr>
      </w:pPr>
    </w:p>
    <w:p w14:paraId="02063C1F" w14:textId="77777777" w:rsidR="002C4A20" w:rsidRDefault="002C4A20">
      <w:pPr>
        <w:spacing w:line="480" w:lineRule="auto"/>
        <w:jc w:val="center"/>
        <w:rPr>
          <w:rFonts w:ascii="Times New Roman" w:eastAsia="Times New Roman" w:hAnsi="Times New Roman" w:cs="Times New Roman"/>
          <w:b/>
          <w:sz w:val="24"/>
          <w:szCs w:val="24"/>
        </w:rPr>
      </w:pPr>
    </w:p>
    <w:p w14:paraId="443D2FAD" w14:textId="77777777" w:rsidR="002C4A20" w:rsidRDefault="002C4A20">
      <w:pPr>
        <w:spacing w:line="480" w:lineRule="auto"/>
        <w:jc w:val="center"/>
        <w:rPr>
          <w:rFonts w:ascii="Times New Roman" w:eastAsia="Times New Roman" w:hAnsi="Times New Roman" w:cs="Times New Roman"/>
          <w:b/>
          <w:sz w:val="24"/>
          <w:szCs w:val="24"/>
        </w:rPr>
      </w:pPr>
    </w:p>
    <w:p w14:paraId="7A5AE573" w14:textId="77777777" w:rsidR="002C4A20" w:rsidRDefault="002C4A20">
      <w:pPr>
        <w:spacing w:line="480" w:lineRule="auto"/>
        <w:jc w:val="center"/>
        <w:rPr>
          <w:rFonts w:ascii="Times New Roman" w:eastAsia="Times New Roman" w:hAnsi="Times New Roman" w:cs="Times New Roman"/>
          <w:b/>
          <w:sz w:val="24"/>
          <w:szCs w:val="24"/>
        </w:rPr>
      </w:pPr>
    </w:p>
    <w:p w14:paraId="0C216950" w14:textId="77777777" w:rsidR="002C4A20" w:rsidRDefault="002C4A20">
      <w:pPr>
        <w:spacing w:line="480" w:lineRule="auto"/>
        <w:jc w:val="center"/>
        <w:rPr>
          <w:rFonts w:ascii="Times New Roman" w:eastAsia="Times New Roman" w:hAnsi="Times New Roman" w:cs="Times New Roman"/>
          <w:b/>
          <w:sz w:val="24"/>
          <w:szCs w:val="24"/>
        </w:rPr>
      </w:pPr>
    </w:p>
    <w:p w14:paraId="78D1D157" w14:textId="77777777" w:rsidR="002C4A20" w:rsidRDefault="002C4A20">
      <w:pPr>
        <w:spacing w:line="480" w:lineRule="auto"/>
        <w:jc w:val="center"/>
        <w:rPr>
          <w:rFonts w:ascii="Times New Roman" w:eastAsia="Times New Roman" w:hAnsi="Times New Roman" w:cs="Times New Roman"/>
          <w:b/>
          <w:sz w:val="24"/>
          <w:szCs w:val="24"/>
        </w:rPr>
      </w:pPr>
    </w:p>
    <w:p w14:paraId="2458E80D" w14:textId="77777777" w:rsidR="002C4A20" w:rsidRDefault="002C4A20">
      <w:pPr>
        <w:spacing w:line="480" w:lineRule="auto"/>
        <w:jc w:val="center"/>
        <w:rPr>
          <w:rFonts w:ascii="Times New Roman" w:eastAsia="Times New Roman" w:hAnsi="Times New Roman" w:cs="Times New Roman"/>
          <w:b/>
          <w:sz w:val="24"/>
          <w:szCs w:val="24"/>
        </w:rPr>
      </w:pPr>
    </w:p>
    <w:p w14:paraId="01CAEE81" w14:textId="77777777" w:rsidR="002C4A20" w:rsidRDefault="002C4A20">
      <w:pPr>
        <w:spacing w:line="480" w:lineRule="auto"/>
        <w:jc w:val="center"/>
        <w:rPr>
          <w:rFonts w:ascii="Times New Roman" w:eastAsia="Times New Roman" w:hAnsi="Times New Roman" w:cs="Times New Roman"/>
          <w:b/>
          <w:sz w:val="24"/>
          <w:szCs w:val="24"/>
        </w:rPr>
      </w:pPr>
    </w:p>
    <w:p w14:paraId="612C6BAE" w14:textId="77777777" w:rsidR="002C4A20" w:rsidRDefault="002C4A20">
      <w:pPr>
        <w:spacing w:line="480" w:lineRule="auto"/>
        <w:jc w:val="center"/>
        <w:rPr>
          <w:rFonts w:ascii="Times New Roman" w:eastAsia="Times New Roman" w:hAnsi="Times New Roman" w:cs="Times New Roman"/>
          <w:b/>
          <w:sz w:val="24"/>
          <w:szCs w:val="24"/>
        </w:rPr>
      </w:pPr>
    </w:p>
    <w:p w14:paraId="002BE17C" w14:textId="77777777" w:rsidR="002C4A20" w:rsidRDefault="002C4A20">
      <w:pPr>
        <w:spacing w:line="480" w:lineRule="auto"/>
        <w:jc w:val="center"/>
        <w:rPr>
          <w:rFonts w:ascii="Times New Roman" w:eastAsia="Times New Roman" w:hAnsi="Times New Roman" w:cs="Times New Roman"/>
          <w:b/>
          <w:sz w:val="24"/>
          <w:szCs w:val="24"/>
        </w:rPr>
      </w:pPr>
    </w:p>
    <w:p w14:paraId="2E761269" w14:textId="77777777" w:rsidR="002C4A20" w:rsidRDefault="004E215C">
      <w:pPr>
        <w:pStyle w:val="Heading1"/>
        <w:spacing w:after="0" w:line="360" w:lineRule="auto"/>
        <w:rPr>
          <w:rFonts w:ascii="Times New Roman" w:eastAsia="Times New Roman" w:hAnsi="Times New Roman" w:cs="Times New Roman"/>
          <w:color w:val="38761D"/>
          <w:sz w:val="28"/>
          <w:szCs w:val="28"/>
        </w:rPr>
      </w:pPr>
      <w:bookmarkStart w:id="1" w:name="_hhtzvz250ztg" w:colFirst="0" w:colLast="0"/>
      <w:bookmarkEnd w:id="1"/>
      <w:r>
        <w:rPr>
          <w:rFonts w:ascii="Times New Roman" w:eastAsia="Times New Roman" w:hAnsi="Times New Roman" w:cs="Times New Roman"/>
          <w:color w:val="38761D"/>
          <w:sz w:val="28"/>
          <w:szCs w:val="28"/>
        </w:rPr>
        <w:t>Acknowledgments</w:t>
      </w:r>
    </w:p>
    <w:p w14:paraId="02AD211D" w14:textId="77777777" w:rsidR="002C4A20" w:rsidRDefault="004E215C">
      <w:pPr>
        <w:ind w:firstLine="720"/>
        <w:rPr>
          <w:rFonts w:ascii="Times New Roman" w:eastAsia="Times New Roman" w:hAnsi="Times New Roman" w:cs="Times New Roman"/>
          <w:sz w:val="24"/>
          <w:szCs w:val="24"/>
        </w:rPr>
      </w:pPr>
      <w:r>
        <w:t>I</w:t>
      </w:r>
      <w:r>
        <w:rPr>
          <w:rFonts w:ascii="Times New Roman" w:eastAsia="Times New Roman" w:hAnsi="Times New Roman" w:cs="Times New Roman"/>
          <w:sz w:val="24"/>
          <w:szCs w:val="24"/>
        </w:rPr>
        <w:t xml:space="preserve">t is essential that we express our gratitude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all parties that have guided us through this auditing process. We are very appreciative to be part of this endeavor and hope to empower the Village’s decision-making powers toward becoming a Climate Smart Co</w:t>
      </w:r>
      <w:r>
        <w:rPr>
          <w:rFonts w:ascii="Times New Roman" w:eastAsia="Times New Roman" w:hAnsi="Times New Roman" w:cs="Times New Roman"/>
          <w:sz w:val="24"/>
          <w:szCs w:val="24"/>
        </w:rPr>
        <w:t xml:space="preserve">mmunity. </w:t>
      </w:r>
    </w:p>
    <w:p w14:paraId="46DC04AA"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We would first like to thank our professor, Dr. Joshua Cousins, for providing us with this opportunity to collaborate on this project. This experience has been very enriching and valuable; we have thoroughly enjoyed applying the teachings of the</w:t>
      </w:r>
      <w:r>
        <w:rPr>
          <w:rFonts w:ascii="Times New Roman" w:eastAsia="Times New Roman" w:hAnsi="Times New Roman" w:cs="Times New Roman"/>
          <w:sz w:val="24"/>
          <w:szCs w:val="24"/>
        </w:rPr>
        <w:t xml:space="preserve"> course into the application of this project.</w:t>
      </w:r>
    </w:p>
    <w:p w14:paraId="01ABD145"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We would next like to express gratitude to the Central New York Regional Planning and Development Board and specifically Michael Boccuzzi and Amanda Mazzoni for their willingness to collaborate and share data </w:t>
      </w:r>
      <w:r>
        <w:rPr>
          <w:rFonts w:ascii="Times New Roman" w:eastAsia="Times New Roman" w:hAnsi="Times New Roman" w:cs="Times New Roman"/>
          <w:sz w:val="24"/>
          <w:szCs w:val="24"/>
        </w:rPr>
        <w:t xml:space="preserve">with us. </w:t>
      </w:r>
    </w:p>
    <w:p w14:paraId="3787F093"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Moreover, we want to thank the Village of Aurora for their desire to have a Greenhouse Gas Inventory conducted and entrusting us with this valuable project. Their endeavor to become a Climate Smart Community is an impressive mission to accomplis</w:t>
      </w:r>
      <w:r>
        <w:rPr>
          <w:rFonts w:ascii="Times New Roman" w:eastAsia="Times New Roman" w:hAnsi="Times New Roman" w:cs="Times New Roman"/>
          <w:sz w:val="24"/>
          <w:szCs w:val="24"/>
        </w:rPr>
        <w:t>h, and we are fortunate to be able to aid in that transition!</w:t>
      </w:r>
    </w:p>
    <w:p w14:paraId="75250D32"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978272F" w14:textId="77777777" w:rsidR="002C4A20" w:rsidRDefault="002C4A20">
      <w:pPr>
        <w:pStyle w:val="Heading1"/>
        <w:rPr>
          <w:rFonts w:ascii="Times New Roman" w:eastAsia="Times New Roman" w:hAnsi="Times New Roman" w:cs="Times New Roman"/>
          <w:color w:val="38761D"/>
          <w:sz w:val="28"/>
          <w:szCs w:val="28"/>
        </w:rPr>
      </w:pPr>
      <w:bookmarkStart w:id="2" w:name="_47gidl45dh6c" w:colFirst="0" w:colLast="0"/>
      <w:bookmarkEnd w:id="2"/>
    </w:p>
    <w:p w14:paraId="0183FED5" w14:textId="77777777" w:rsidR="002C4A20" w:rsidRDefault="002C4A20"/>
    <w:p w14:paraId="3FD3F32B" w14:textId="77777777" w:rsidR="002C4A20" w:rsidRDefault="002C4A20"/>
    <w:p w14:paraId="41247E88" w14:textId="77777777" w:rsidR="002C4A20" w:rsidRDefault="002C4A20"/>
    <w:p w14:paraId="3016F868" w14:textId="77777777" w:rsidR="002C4A20" w:rsidRDefault="002C4A20"/>
    <w:p w14:paraId="7C446ED1" w14:textId="77777777" w:rsidR="002C4A20" w:rsidRDefault="002C4A20"/>
    <w:p w14:paraId="685C3B3D" w14:textId="77777777" w:rsidR="002C4A20" w:rsidRDefault="002C4A20"/>
    <w:p w14:paraId="355981FB" w14:textId="77777777" w:rsidR="002C4A20" w:rsidRDefault="002C4A20"/>
    <w:p w14:paraId="45DC4676" w14:textId="77777777" w:rsidR="002C4A20" w:rsidRDefault="002C4A20"/>
    <w:p w14:paraId="2E87F343" w14:textId="77777777" w:rsidR="002C4A20" w:rsidRDefault="002C4A20"/>
    <w:p w14:paraId="308C1560" w14:textId="77777777" w:rsidR="002C4A20" w:rsidRDefault="002C4A20"/>
    <w:p w14:paraId="091CDB05" w14:textId="77777777" w:rsidR="002C4A20" w:rsidRDefault="002C4A20"/>
    <w:p w14:paraId="330B0BCF" w14:textId="77777777" w:rsidR="002C4A20" w:rsidRDefault="002C4A20"/>
    <w:p w14:paraId="49D0D87E" w14:textId="77777777" w:rsidR="002C4A20" w:rsidRDefault="002C4A20"/>
    <w:p w14:paraId="6C0E40DF" w14:textId="77777777" w:rsidR="002C4A20" w:rsidRDefault="002C4A20"/>
    <w:p w14:paraId="79DBA8D0" w14:textId="77777777" w:rsidR="002C4A20" w:rsidRDefault="002C4A20"/>
    <w:p w14:paraId="7AE832DD" w14:textId="77777777" w:rsidR="002C4A20" w:rsidRDefault="002C4A20"/>
    <w:p w14:paraId="38F43981" w14:textId="77777777" w:rsidR="002C4A20" w:rsidRDefault="002C4A20"/>
    <w:p w14:paraId="0C4ECF07" w14:textId="77777777" w:rsidR="002C4A20" w:rsidRDefault="002C4A20"/>
    <w:p w14:paraId="4668E5C2" w14:textId="77777777" w:rsidR="002C4A20" w:rsidRDefault="002C4A20"/>
    <w:p w14:paraId="41430F61" w14:textId="77777777" w:rsidR="002C4A20" w:rsidRDefault="004E215C">
      <w:pPr>
        <w:pStyle w:val="Heading1"/>
        <w:rPr>
          <w:rFonts w:ascii="Times New Roman" w:eastAsia="Times New Roman" w:hAnsi="Times New Roman" w:cs="Times New Roman"/>
          <w:color w:val="38761D"/>
          <w:sz w:val="28"/>
          <w:szCs w:val="28"/>
        </w:rPr>
      </w:pPr>
      <w:bookmarkStart w:id="3" w:name="_f72aoom580l4" w:colFirst="0" w:colLast="0"/>
      <w:bookmarkEnd w:id="3"/>
      <w:r>
        <w:rPr>
          <w:rFonts w:ascii="Times New Roman" w:eastAsia="Times New Roman" w:hAnsi="Times New Roman" w:cs="Times New Roman"/>
          <w:color w:val="38761D"/>
          <w:sz w:val="28"/>
          <w:szCs w:val="28"/>
        </w:rPr>
        <w:lastRenderedPageBreak/>
        <w:t>Introduction</w:t>
      </w:r>
    </w:p>
    <w:p w14:paraId="44B1D627"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New York strives towards a more sustainable and environmentally just future, municipalities across the state are incorporating green infrastructure and technologies into their communities to meet government-sanctioned climate goals. One such program is </w:t>
      </w:r>
      <w:r>
        <w:rPr>
          <w:rFonts w:ascii="Times New Roman" w:eastAsia="Times New Roman" w:hAnsi="Times New Roman" w:cs="Times New Roman"/>
          <w:sz w:val="24"/>
          <w:szCs w:val="24"/>
        </w:rPr>
        <w:t>the 'Climate Smart Communities' (CSC) initiative, which provides participating communities with tools, funding, rebates, and technical assistance to achieve their sustainability goals. The Village of Aurora has registered with the CSC program as part of th</w:t>
      </w:r>
      <w:r>
        <w:rPr>
          <w:rFonts w:ascii="Times New Roman" w:eastAsia="Times New Roman" w:hAnsi="Times New Roman" w:cs="Times New Roman"/>
          <w:sz w:val="24"/>
          <w:szCs w:val="24"/>
        </w:rPr>
        <w:t xml:space="preserve">eir Comprehensive Plan and has pledged to </w:t>
      </w:r>
      <w:proofErr w:type="gramStart"/>
      <w:r>
        <w:rPr>
          <w:rFonts w:ascii="Times New Roman" w:eastAsia="Times New Roman" w:hAnsi="Times New Roman" w:cs="Times New Roman"/>
          <w:sz w:val="24"/>
          <w:szCs w:val="24"/>
        </w:rPr>
        <w:t>take action</w:t>
      </w:r>
      <w:proofErr w:type="gramEnd"/>
      <w:r>
        <w:rPr>
          <w:rFonts w:ascii="Times New Roman" w:eastAsia="Times New Roman" w:hAnsi="Times New Roman" w:cs="Times New Roman"/>
          <w:sz w:val="24"/>
          <w:szCs w:val="24"/>
        </w:rPr>
        <w:t>, demonstrating strong initiative and support for a more sustainable municipality.</w:t>
      </w:r>
    </w:p>
    <w:p w14:paraId="75716ECE"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Climate Smart Communities Certification Program was developed for New York </w:t>
      </w:r>
      <w:proofErr w:type="gramStart"/>
      <w:r>
        <w:rPr>
          <w:rFonts w:ascii="Times New Roman" w:eastAsia="Times New Roman" w:hAnsi="Times New Roman" w:cs="Times New Roman"/>
          <w:sz w:val="24"/>
          <w:szCs w:val="24"/>
        </w:rPr>
        <w:t>State, and</w:t>
      </w:r>
      <w:proofErr w:type="gramEnd"/>
      <w:r>
        <w:rPr>
          <w:rFonts w:ascii="Times New Roman" w:eastAsia="Times New Roman" w:hAnsi="Times New Roman" w:cs="Times New Roman"/>
          <w:sz w:val="24"/>
          <w:szCs w:val="24"/>
        </w:rPr>
        <w:t xml:space="preserve"> premiered in 2009 with the goa</w:t>
      </w:r>
      <w:r>
        <w:rPr>
          <w:rFonts w:ascii="Times New Roman" w:eastAsia="Times New Roman" w:hAnsi="Times New Roman" w:cs="Times New Roman"/>
          <w:sz w:val="24"/>
          <w:szCs w:val="24"/>
        </w:rPr>
        <w:t>l of encouraging local governments to formally commit to implementing strategies to mitigate climate change. New York State sponsorships include the Department of Environmental Conservation (DEC), the Energy Research and Development Authority (NYSERDA), an</w:t>
      </w:r>
      <w:r>
        <w:rPr>
          <w:rFonts w:ascii="Times New Roman" w:eastAsia="Times New Roman" w:hAnsi="Times New Roman" w:cs="Times New Roman"/>
          <w:sz w:val="24"/>
          <w:szCs w:val="24"/>
        </w:rPr>
        <w:t xml:space="preserve">d others. The program evolved to provide specific guidelines on how to implement these </w:t>
      </w:r>
      <w:proofErr w:type="gramStart"/>
      <w:r>
        <w:rPr>
          <w:rFonts w:ascii="Times New Roman" w:eastAsia="Times New Roman" w:hAnsi="Times New Roman" w:cs="Times New Roman"/>
          <w:sz w:val="24"/>
          <w:szCs w:val="24"/>
        </w:rPr>
        <w:t>changes, and</w:t>
      </w:r>
      <w:proofErr w:type="gramEnd"/>
      <w:r>
        <w:rPr>
          <w:rFonts w:ascii="Times New Roman" w:eastAsia="Times New Roman" w:hAnsi="Times New Roman" w:cs="Times New Roman"/>
          <w:sz w:val="24"/>
          <w:szCs w:val="24"/>
        </w:rPr>
        <w:t xml:space="preserve"> gain an official CSC certification. Now, the CSC platform has over 100 climate actions that communities can choose from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work towards a certifica</w:t>
      </w:r>
      <w:r>
        <w:rPr>
          <w:rFonts w:ascii="Times New Roman" w:eastAsia="Times New Roman" w:hAnsi="Times New Roman" w:cs="Times New Roman"/>
          <w:sz w:val="24"/>
          <w:szCs w:val="24"/>
        </w:rPr>
        <w:t>tion. Certifications are obtained by completing these actions and accumulating points, which contribute to the locality’s level of certification as bronze, silver, or gold. The goals of the program include reducing greenhouse gas emissions, building resili</w:t>
      </w:r>
      <w:r>
        <w:rPr>
          <w:rFonts w:ascii="Times New Roman" w:eastAsia="Times New Roman" w:hAnsi="Times New Roman" w:cs="Times New Roman"/>
          <w:sz w:val="24"/>
          <w:szCs w:val="24"/>
        </w:rPr>
        <w:t>ence to the impacts of climate change, saving taxpayer dollars, increasing energy security and reliability, and improving community public health and safety.</w:t>
      </w:r>
      <w:r>
        <w:rPr>
          <w:rFonts w:ascii="Times New Roman" w:eastAsia="Times New Roman" w:hAnsi="Times New Roman" w:cs="Times New Roman"/>
          <w:sz w:val="24"/>
          <w:szCs w:val="24"/>
          <w:vertAlign w:val="superscript"/>
        </w:rPr>
        <w:footnoteReference w:id="1"/>
      </w:r>
    </w:p>
    <w:p w14:paraId="1BB4D078"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communities are seeking ways to mitigate and adapt to climate change as it poses threats to</w:t>
      </w:r>
      <w:r>
        <w:rPr>
          <w:rFonts w:ascii="Times New Roman" w:eastAsia="Times New Roman" w:hAnsi="Times New Roman" w:cs="Times New Roman"/>
          <w:sz w:val="24"/>
          <w:szCs w:val="24"/>
        </w:rPr>
        <w:t xml:space="preserve"> their residents’ wellbeing. In the Village of Aurora’s Comprehensive Plan, the main priority is building resiliency against flooding caused by more frequent stormwater runoff.</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Complementary to this effort, the Village seeks to implement sound stormwater</w:t>
      </w:r>
      <w:r>
        <w:rPr>
          <w:rFonts w:ascii="Times New Roman" w:eastAsia="Times New Roman" w:hAnsi="Times New Roman" w:cs="Times New Roman"/>
          <w:sz w:val="24"/>
          <w:szCs w:val="24"/>
        </w:rPr>
        <w:t xml:space="preserve"> management, increase sustainable energy usage, protect Cayuga Lake, and participate in the New York State smart growth communities. </w:t>
      </w:r>
    </w:p>
    <w:p w14:paraId="02AE5A59"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Village of Aurora took the Climate Smart Communities pledge and joined the Clean Energy Communities program as part of</w:t>
      </w:r>
      <w:r>
        <w:rPr>
          <w:rFonts w:ascii="Times New Roman" w:eastAsia="Times New Roman" w:hAnsi="Times New Roman" w:cs="Times New Roman"/>
          <w:sz w:val="24"/>
          <w:szCs w:val="24"/>
        </w:rPr>
        <w:t xml:space="preserve"> the NYS smart growth </w:t>
      </w:r>
      <w:proofErr w:type="gramStart"/>
      <w:r>
        <w:rPr>
          <w:rFonts w:ascii="Times New Roman" w:eastAsia="Times New Roman" w:hAnsi="Times New Roman" w:cs="Times New Roman"/>
          <w:sz w:val="24"/>
          <w:szCs w:val="24"/>
        </w:rPr>
        <w:t>communities, but</w:t>
      </w:r>
      <w:proofErr w:type="gramEnd"/>
      <w:r>
        <w:rPr>
          <w:rFonts w:ascii="Times New Roman" w:eastAsia="Times New Roman" w:hAnsi="Times New Roman" w:cs="Times New Roman"/>
          <w:sz w:val="24"/>
          <w:szCs w:val="24"/>
        </w:rPr>
        <w:t xml:space="preserve"> needs help in establishing a greenhouse gas emissions inventory. Greenhouse Gas (GHG) Emissions Inventories are one way for a community to measure its sustainability and identify areas where emissions can be most effe</w:t>
      </w:r>
      <w:r>
        <w:rPr>
          <w:rFonts w:ascii="Times New Roman" w:eastAsia="Times New Roman" w:hAnsi="Times New Roman" w:cs="Times New Roman"/>
          <w:sz w:val="24"/>
          <w:szCs w:val="24"/>
        </w:rPr>
        <w:t>ctively reduced. These inventories allow for the analysis of different sources of emissions and how they can be mitigated. Such inventories pave the way for future economic benefits, with tax incentives and rebates. This is integral to the Climate Smart Co</w:t>
      </w:r>
      <w:r>
        <w:rPr>
          <w:rFonts w:ascii="Times New Roman" w:eastAsia="Times New Roman" w:hAnsi="Times New Roman" w:cs="Times New Roman"/>
          <w:sz w:val="24"/>
          <w:szCs w:val="24"/>
        </w:rPr>
        <w:t xml:space="preserve">mmunities pledge so that they may set goals and plan for climate action based on these baselines. When the Village of Aurora is ready to begin reducing emissions, they can receive </w:t>
      </w:r>
      <w:r>
        <w:rPr>
          <w:rFonts w:ascii="Times New Roman" w:eastAsia="Times New Roman" w:hAnsi="Times New Roman" w:cs="Times New Roman"/>
          <w:sz w:val="24"/>
          <w:szCs w:val="24"/>
        </w:rPr>
        <w:lastRenderedPageBreak/>
        <w:t>technical assistance and government funding for their efforts. CSCs track th</w:t>
      </w:r>
      <w:r>
        <w:rPr>
          <w:rFonts w:ascii="Times New Roman" w:eastAsia="Times New Roman" w:hAnsi="Times New Roman" w:cs="Times New Roman"/>
          <w:sz w:val="24"/>
          <w:szCs w:val="24"/>
        </w:rPr>
        <w:t>eir progress by fulfilling certification actions, like reducing GHGs from government vehicles or enacting a climate action plan. The more actions they perform, the more points they accrue to move from bronze to silver status.</w:t>
      </w:r>
    </w:p>
    <w:p w14:paraId="75CCB822" w14:textId="77777777" w:rsidR="002C4A20" w:rsidRDefault="002C4A20">
      <w:pPr>
        <w:ind w:firstLine="720"/>
        <w:rPr>
          <w:rFonts w:ascii="Times New Roman" w:eastAsia="Times New Roman" w:hAnsi="Times New Roman" w:cs="Times New Roman"/>
          <w:sz w:val="24"/>
          <w:szCs w:val="24"/>
        </w:rPr>
      </w:pPr>
    </w:p>
    <w:p w14:paraId="49C0EC36" w14:textId="77777777" w:rsidR="002C4A20" w:rsidRDefault="004E215C">
      <w:pPr>
        <w:pStyle w:val="Heading1"/>
        <w:spacing w:line="480" w:lineRule="auto"/>
        <w:rPr>
          <w:rFonts w:ascii="Times New Roman" w:eastAsia="Times New Roman" w:hAnsi="Times New Roman" w:cs="Times New Roman"/>
          <w:color w:val="38761D"/>
          <w:sz w:val="28"/>
          <w:szCs w:val="28"/>
        </w:rPr>
      </w:pPr>
      <w:bookmarkStart w:id="4" w:name="_602yb05upgbo" w:colFirst="0" w:colLast="0"/>
      <w:bookmarkEnd w:id="4"/>
      <w:r>
        <w:rPr>
          <w:rFonts w:ascii="Times New Roman" w:eastAsia="Times New Roman" w:hAnsi="Times New Roman" w:cs="Times New Roman"/>
          <w:color w:val="38761D"/>
          <w:sz w:val="28"/>
          <w:szCs w:val="28"/>
        </w:rPr>
        <w:t>Methods</w:t>
      </w:r>
    </w:p>
    <w:p w14:paraId="0932A7C4" w14:textId="77777777" w:rsidR="002C4A20" w:rsidRDefault="004E215C">
      <w:pPr>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A municipal GHG inve</w:t>
      </w:r>
      <w:r>
        <w:rPr>
          <w:rFonts w:ascii="Times New Roman" w:eastAsia="Times New Roman" w:hAnsi="Times New Roman" w:cs="Times New Roman"/>
          <w:sz w:val="24"/>
          <w:szCs w:val="24"/>
        </w:rPr>
        <w:t>ntory is an easy first step to becoming a CSC.  In keeping with CSC guidelines, emissions are classified by scope:</w:t>
      </w:r>
    </w:p>
    <w:p w14:paraId="775ABD00" w14:textId="77777777" w:rsidR="002C4A20" w:rsidRDefault="002C4A20">
      <w:pPr>
        <w:jc w:val="center"/>
        <w:rPr>
          <w:rFonts w:ascii="Times New Roman" w:eastAsia="Times New Roman" w:hAnsi="Times New Roman" w:cs="Times New Roman"/>
          <w:sz w:val="24"/>
          <w:szCs w:val="24"/>
        </w:rPr>
      </w:pPr>
    </w:p>
    <w:p w14:paraId="6F11AF0B" w14:textId="77777777" w:rsidR="002C4A20" w:rsidRDefault="004E215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Scope 1: Direct GHG emissions from village-owned equipment</w:t>
      </w:r>
    </w:p>
    <w:p w14:paraId="1475378E" w14:textId="77777777" w:rsidR="002C4A20" w:rsidRDefault="004E215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Scope 2: Indirect GHG emissions via purchasing electricity from utilities</w:t>
      </w:r>
    </w:p>
    <w:p w14:paraId="6FE0EE1E" w14:textId="77777777" w:rsidR="002C4A20" w:rsidRDefault="004E215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Scope 3</w:t>
      </w:r>
      <w:r>
        <w:rPr>
          <w:rFonts w:ascii="Times New Roman" w:eastAsia="Times New Roman" w:hAnsi="Times New Roman" w:cs="Times New Roman"/>
          <w:sz w:val="24"/>
          <w:szCs w:val="24"/>
        </w:rPr>
        <w:t>: Other indirect emissions (transport of goods, life-cycle assessments)</w:t>
      </w:r>
    </w:p>
    <w:p w14:paraId="231BE332" w14:textId="77777777" w:rsidR="002C4A20" w:rsidRDefault="002C4A20">
      <w:pPr>
        <w:jc w:val="center"/>
        <w:rPr>
          <w:rFonts w:ascii="Times New Roman" w:eastAsia="Times New Roman" w:hAnsi="Times New Roman" w:cs="Times New Roman"/>
          <w:sz w:val="24"/>
          <w:szCs w:val="24"/>
        </w:rPr>
      </w:pPr>
    </w:p>
    <w:p w14:paraId="7FE7B706"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inventory focuses on scope 1 and scope 2 emissions coming solely from municipal operations.  All data was obtained from the CNYRPDB in conjunction with the Village of Aurora.  T</w:t>
      </w:r>
      <w:r>
        <w:rPr>
          <w:rFonts w:ascii="Times New Roman" w:eastAsia="Times New Roman" w:hAnsi="Times New Roman" w:cs="Times New Roman"/>
          <w:sz w:val="24"/>
          <w:szCs w:val="24"/>
        </w:rPr>
        <w:t xml:space="preserve">he inventory was carried out through the CSC/CAA Excel Workbook, colloquially known as the ‘Jim Tool’ after its creator, Jim Yienger, at Climate Action Associates.  </w:t>
      </w:r>
    </w:p>
    <w:p w14:paraId="7765546B" w14:textId="77777777" w:rsidR="002C4A20" w:rsidRDefault="002C4A20">
      <w:pPr>
        <w:rPr>
          <w:rFonts w:ascii="Times New Roman" w:eastAsia="Times New Roman" w:hAnsi="Times New Roman" w:cs="Times New Roman"/>
          <w:sz w:val="24"/>
          <w:szCs w:val="24"/>
        </w:rPr>
      </w:pPr>
    </w:p>
    <w:p w14:paraId="056474CD"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first step in creating the GHG inventory is creating a facility master list, seen in</w:t>
      </w:r>
      <w:r>
        <w:rPr>
          <w:rFonts w:ascii="Times New Roman" w:eastAsia="Times New Roman" w:hAnsi="Times New Roman" w:cs="Times New Roman"/>
          <w:sz w:val="24"/>
          <w:szCs w:val="24"/>
        </w:rPr>
        <w:t xml:space="preserve"> Figure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By creating this master list, account data will automatically link to its associated building and use. This is the most important step in ensuring data will auto populate in the deliverables, or ‘GHG Inventory’ tab.  </w:t>
      </w:r>
    </w:p>
    <w:p w14:paraId="79E18D8C"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E253D51" wp14:editId="55AE4416">
            <wp:extent cx="5943600" cy="2382757"/>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26801" b="9247"/>
                    <a:stretch>
                      <a:fillRect/>
                    </a:stretch>
                  </pic:blipFill>
                  <pic:spPr>
                    <a:xfrm>
                      <a:off x="0" y="0"/>
                      <a:ext cx="5943600" cy="2382757"/>
                    </a:xfrm>
                    <a:prstGeom prst="rect">
                      <a:avLst/>
                    </a:prstGeom>
                    <a:ln/>
                  </pic:spPr>
                </pic:pic>
              </a:graphicData>
            </a:graphic>
          </wp:inline>
        </w:drawing>
      </w:r>
    </w:p>
    <w:p w14:paraId="5D003316" w14:textId="77777777" w:rsidR="002C4A20" w:rsidRDefault="004E21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 Aurora’s Facility Master List</w:t>
      </w:r>
    </w:p>
    <w:p w14:paraId="6BB4BD50" w14:textId="77777777" w:rsidR="002C4A20" w:rsidRDefault="002C4A20">
      <w:pPr>
        <w:jc w:val="center"/>
        <w:rPr>
          <w:rFonts w:ascii="Times New Roman" w:eastAsia="Times New Roman" w:hAnsi="Times New Roman" w:cs="Times New Roman"/>
          <w:b/>
          <w:sz w:val="24"/>
          <w:szCs w:val="24"/>
        </w:rPr>
      </w:pPr>
    </w:p>
    <w:p w14:paraId="0FCF9C9A"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After this, the next step is linking energy provider accounts, seen in </w:t>
      </w:r>
      <w:r>
        <w:rPr>
          <w:rFonts w:ascii="Times New Roman" w:eastAsia="Times New Roman" w:hAnsi="Times New Roman" w:cs="Times New Roman"/>
          <w:b/>
          <w:sz w:val="24"/>
          <w:szCs w:val="24"/>
        </w:rPr>
        <w:t xml:space="preserve">Figure 2.  </w:t>
      </w:r>
      <w:r>
        <w:rPr>
          <w:rFonts w:ascii="Times New Roman" w:eastAsia="Times New Roman" w:hAnsi="Times New Roman" w:cs="Times New Roman"/>
          <w:sz w:val="24"/>
          <w:szCs w:val="24"/>
        </w:rPr>
        <w:t>This step allows the data obtained from energy bills to be assigned to the correct facility.</w:t>
      </w:r>
    </w:p>
    <w:p w14:paraId="2AB78136" w14:textId="77777777" w:rsidR="002C4A20" w:rsidRDefault="002C4A20">
      <w:pPr>
        <w:rPr>
          <w:rFonts w:ascii="Times New Roman" w:eastAsia="Times New Roman" w:hAnsi="Times New Roman" w:cs="Times New Roman"/>
          <w:sz w:val="24"/>
          <w:szCs w:val="24"/>
        </w:rPr>
      </w:pPr>
    </w:p>
    <w:p w14:paraId="5CE4B01C"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976DCE8" wp14:editId="00056CC1">
            <wp:extent cx="5943600" cy="2363819"/>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26797" b="9762"/>
                    <a:stretch>
                      <a:fillRect/>
                    </a:stretch>
                  </pic:blipFill>
                  <pic:spPr>
                    <a:xfrm>
                      <a:off x="0" y="0"/>
                      <a:ext cx="5943600" cy="2363819"/>
                    </a:xfrm>
                    <a:prstGeom prst="rect">
                      <a:avLst/>
                    </a:prstGeom>
                    <a:ln/>
                  </pic:spPr>
                </pic:pic>
              </a:graphicData>
            </a:graphic>
          </wp:inline>
        </w:drawing>
      </w:r>
    </w:p>
    <w:p w14:paraId="4C45048D" w14:textId="77777777" w:rsidR="002C4A20" w:rsidRDefault="004E21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 Energy Provider Accounts</w:t>
      </w:r>
    </w:p>
    <w:p w14:paraId="0ECC8206" w14:textId="77777777" w:rsidR="002C4A20" w:rsidRDefault="002C4A20">
      <w:pPr>
        <w:jc w:val="center"/>
        <w:rPr>
          <w:rFonts w:ascii="Times New Roman" w:eastAsia="Times New Roman" w:hAnsi="Times New Roman" w:cs="Times New Roman"/>
          <w:b/>
          <w:sz w:val="24"/>
          <w:szCs w:val="24"/>
        </w:rPr>
      </w:pPr>
    </w:p>
    <w:p w14:paraId="56A4C9C4"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From here, data obtained from the village is entered into four relevant categories:</w:t>
      </w:r>
    </w:p>
    <w:p w14:paraId="0ADD36C7" w14:textId="77777777" w:rsidR="002C4A20" w:rsidRDefault="004E215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bills (monthly &amp; annual)</w:t>
      </w:r>
    </w:p>
    <w:p w14:paraId="638B2A36" w14:textId="77777777" w:rsidR="002C4A20" w:rsidRDefault="004E215C">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Elect</w:t>
      </w:r>
      <w:r>
        <w:rPr>
          <w:rFonts w:ascii="Times New Roman" w:eastAsia="Times New Roman" w:hAnsi="Times New Roman" w:cs="Times New Roman"/>
          <w:sz w:val="24"/>
          <w:szCs w:val="24"/>
        </w:rPr>
        <w:t xml:space="preserve">ricity provided to WWTP, firehouse, and </w:t>
      </w:r>
      <w:proofErr w:type="gramStart"/>
      <w:r>
        <w:rPr>
          <w:rFonts w:ascii="Times New Roman" w:eastAsia="Times New Roman" w:hAnsi="Times New Roman" w:cs="Times New Roman"/>
          <w:sz w:val="24"/>
          <w:szCs w:val="24"/>
        </w:rPr>
        <w:t>streetlights</w:t>
      </w:r>
      <w:proofErr w:type="gramEnd"/>
    </w:p>
    <w:p w14:paraId="6CDF431D" w14:textId="77777777" w:rsidR="002C4A20" w:rsidRDefault="004E215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Tank Fuels</w:t>
      </w:r>
    </w:p>
    <w:p w14:paraId="4C1EA625" w14:textId="77777777" w:rsidR="002C4A20" w:rsidRDefault="004E215C">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Propane and diesel provided to </w:t>
      </w:r>
      <w:proofErr w:type="gramStart"/>
      <w:r>
        <w:rPr>
          <w:rFonts w:ascii="Times New Roman" w:eastAsia="Times New Roman" w:hAnsi="Times New Roman" w:cs="Times New Roman"/>
          <w:sz w:val="24"/>
          <w:szCs w:val="24"/>
        </w:rPr>
        <w:t>firehouse</w:t>
      </w:r>
      <w:proofErr w:type="gramEnd"/>
    </w:p>
    <w:p w14:paraId="4ED8C7F6" w14:textId="77777777" w:rsidR="002C4A20" w:rsidRDefault="004E215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Vehicle Fleet Fuel</w:t>
      </w:r>
    </w:p>
    <w:p w14:paraId="6D7BFF22" w14:textId="77777777" w:rsidR="002C4A20" w:rsidRDefault="004E215C">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Fuels required to operate municipal </w:t>
      </w:r>
      <w:proofErr w:type="gramStart"/>
      <w:r>
        <w:rPr>
          <w:rFonts w:ascii="Times New Roman" w:eastAsia="Times New Roman" w:hAnsi="Times New Roman" w:cs="Times New Roman"/>
          <w:sz w:val="24"/>
          <w:szCs w:val="24"/>
        </w:rPr>
        <w:t>vehicles</w:t>
      </w:r>
      <w:proofErr w:type="gramEnd"/>
    </w:p>
    <w:p w14:paraId="48F7A23A" w14:textId="77777777" w:rsidR="002C4A20" w:rsidRDefault="004E215C">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Wastewater Treatment</w:t>
      </w:r>
    </w:p>
    <w:p w14:paraId="5F17740B" w14:textId="77777777" w:rsidR="002C4A20" w:rsidRDefault="004E215C">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Emissions from N₂O load</w:t>
      </w:r>
    </w:p>
    <w:p w14:paraId="21CBB632" w14:textId="77777777" w:rsidR="002C4A20" w:rsidRDefault="002C4A20">
      <w:pPr>
        <w:rPr>
          <w:rFonts w:ascii="Times New Roman" w:eastAsia="Times New Roman" w:hAnsi="Times New Roman" w:cs="Times New Roman"/>
          <w:sz w:val="24"/>
          <w:szCs w:val="24"/>
        </w:rPr>
      </w:pPr>
    </w:p>
    <w:p w14:paraId="1F195ABB"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Once compiled, this data auto populates </w:t>
      </w:r>
      <w:r>
        <w:rPr>
          <w:rFonts w:ascii="Times New Roman" w:eastAsia="Times New Roman" w:hAnsi="Times New Roman" w:cs="Times New Roman"/>
          <w:sz w:val="24"/>
          <w:szCs w:val="24"/>
        </w:rPr>
        <w:t>into deliverable information including annual costs, metric tons of CO₂ released</w:t>
      </w:r>
      <w:r>
        <w:rPr>
          <w:rFonts w:ascii="Times New Roman" w:eastAsia="Times New Roman" w:hAnsi="Times New Roman" w:cs="Times New Roman"/>
          <w:b/>
          <w:sz w:val="24"/>
          <w:szCs w:val="24"/>
          <w:vertAlign w:val="superscript"/>
        </w:rPr>
        <w:footnoteReference w:id="3"/>
      </w:r>
      <w:r>
        <w:rPr>
          <w:rFonts w:ascii="Times New Roman" w:eastAsia="Times New Roman" w:hAnsi="Times New Roman" w:cs="Times New Roman"/>
          <w:sz w:val="24"/>
          <w:szCs w:val="24"/>
        </w:rPr>
        <w:t xml:space="preserve">, and energy consumed into the ‘GHG Inventory’ tab, seen in </w:t>
      </w: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With this tab, total municipal emissions for Aurora are separated by year, sector, building, and more. </w:t>
      </w:r>
      <w:r>
        <w:rPr>
          <w:rFonts w:ascii="Times New Roman" w:eastAsia="Times New Roman" w:hAnsi="Times New Roman" w:cs="Times New Roman"/>
          <w:sz w:val="24"/>
          <w:szCs w:val="24"/>
        </w:rPr>
        <w:t xml:space="preserve"> The deliverables tab also comes with premade graphs that auto populate based on available data.  Using these graphs, opportunities to reduce costs and emissions were identified, and factored into this report’s final recommendations.</w:t>
      </w:r>
    </w:p>
    <w:p w14:paraId="2ABA851D"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B29CBA1" wp14:editId="3D75BD13">
            <wp:extent cx="5943600" cy="24479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24808" b="9462"/>
                    <a:stretch>
                      <a:fillRect/>
                    </a:stretch>
                  </pic:blipFill>
                  <pic:spPr>
                    <a:xfrm>
                      <a:off x="0" y="0"/>
                      <a:ext cx="5943600" cy="2447925"/>
                    </a:xfrm>
                    <a:prstGeom prst="rect">
                      <a:avLst/>
                    </a:prstGeom>
                    <a:ln/>
                  </pic:spPr>
                </pic:pic>
              </a:graphicData>
            </a:graphic>
          </wp:inline>
        </w:drawing>
      </w:r>
    </w:p>
    <w:p w14:paraId="50916075" w14:textId="77777777" w:rsidR="002C4A20" w:rsidRDefault="004E215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 ‘GHG Inven</w:t>
      </w:r>
      <w:r>
        <w:rPr>
          <w:rFonts w:ascii="Times New Roman" w:eastAsia="Times New Roman" w:hAnsi="Times New Roman" w:cs="Times New Roman"/>
          <w:b/>
          <w:sz w:val="24"/>
          <w:szCs w:val="24"/>
        </w:rPr>
        <w:t xml:space="preserve">tory’ Tab showing some of the final data and </w:t>
      </w:r>
      <w:proofErr w:type="gramStart"/>
      <w:r>
        <w:rPr>
          <w:rFonts w:ascii="Times New Roman" w:eastAsia="Times New Roman" w:hAnsi="Times New Roman" w:cs="Times New Roman"/>
          <w:b/>
          <w:sz w:val="24"/>
          <w:szCs w:val="24"/>
        </w:rPr>
        <w:t>deliverables</w:t>
      </w:r>
      <w:proofErr w:type="gramEnd"/>
    </w:p>
    <w:p w14:paraId="742E47CF" w14:textId="77777777" w:rsidR="002C4A20" w:rsidRDefault="002C4A20">
      <w:pPr>
        <w:rPr>
          <w:rFonts w:ascii="Times New Roman" w:eastAsia="Times New Roman" w:hAnsi="Times New Roman" w:cs="Times New Roman"/>
          <w:b/>
          <w:sz w:val="24"/>
          <w:szCs w:val="24"/>
        </w:rPr>
      </w:pPr>
    </w:p>
    <w:p w14:paraId="2E85D234" w14:textId="77777777" w:rsidR="002C4A20" w:rsidRDefault="004E215C">
      <w:pPr>
        <w:pStyle w:val="Heading1"/>
        <w:spacing w:line="480" w:lineRule="auto"/>
        <w:rPr>
          <w:rFonts w:ascii="Times New Roman" w:eastAsia="Times New Roman" w:hAnsi="Times New Roman" w:cs="Times New Roman"/>
          <w:sz w:val="24"/>
          <w:szCs w:val="24"/>
        </w:rPr>
      </w:pPr>
      <w:bookmarkStart w:id="5" w:name="_mq9jr0vgmkpf" w:colFirst="0" w:colLast="0"/>
      <w:bookmarkEnd w:id="5"/>
      <w:r>
        <w:rPr>
          <w:rFonts w:ascii="Times New Roman" w:eastAsia="Times New Roman" w:hAnsi="Times New Roman" w:cs="Times New Roman"/>
          <w:color w:val="38761D"/>
          <w:sz w:val="28"/>
          <w:szCs w:val="28"/>
        </w:rPr>
        <w:t xml:space="preserve">Emissions Results and Discussion by Sector </w:t>
      </w:r>
    </w:p>
    <w:p w14:paraId="5EDDCE0F" w14:textId="77777777" w:rsidR="002C4A20" w:rsidRDefault="004E215C">
      <w:pPr>
        <w:pStyle w:val="Heading2"/>
        <w:spacing w:line="480" w:lineRule="auto"/>
        <w:rPr>
          <w:rFonts w:ascii="Times New Roman" w:eastAsia="Times New Roman" w:hAnsi="Times New Roman" w:cs="Times New Roman"/>
          <w:b/>
          <w:sz w:val="24"/>
          <w:szCs w:val="24"/>
        </w:rPr>
      </w:pPr>
      <w:bookmarkStart w:id="6" w:name="_r8nml28tnvzm" w:colFirst="0" w:colLast="0"/>
      <w:bookmarkEnd w:id="6"/>
      <w:r>
        <w:rPr>
          <w:rFonts w:ascii="Times New Roman" w:eastAsia="Times New Roman" w:hAnsi="Times New Roman" w:cs="Times New Roman"/>
          <w:b/>
          <w:sz w:val="24"/>
          <w:szCs w:val="24"/>
        </w:rPr>
        <w:t>Vehicle Fleet</w:t>
      </w:r>
    </w:p>
    <w:p w14:paraId="7E3705FD"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Village’s vehicle fleet is composed of vehicles that fulfill the purposes of street sweeping, snow-blowing, and transporting between mu</w:t>
      </w:r>
      <w:r>
        <w:rPr>
          <w:rFonts w:ascii="Times New Roman" w:eastAsia="Times New Roman" w:hAnsi="Times New Roman" w:cs="Times New Roman"/>
          <w:sz w:val="24"/>
          <w:szCs w:val="24"/>
        </w:rPr>
        <w:t>nicipal facilities. The vehicle fleet used 1,713 gallons of gasoline, with an equivalent of $5,518.04 in financial costs. Diesel consumption was 157.5 gallons with a cost equivalent of $830.22.</w:t>
      </w:r>
    </w:p>
    <w:p w14:paraId="1FEDB45F" w14:textId="77777777" w:rsidR="002C4A20" w:rsidRDefault="004E215C">
      <w:pPr>
        <w:pStyle w:val="Heading2"/>
        <w:spacing w:line="480" w:lineRule="auto"/>
        <w:rPr>
          <w:rFonts w:ascii="Times New Roman" w:eastAsia="Times New Roman" w:hAnsi="Times New Roman" w:cs="Times New Roman"/>
          <w:b/>
          <w:sz w:val="24"/>
          <w:szCs w:val="24"/>
        </w:rPr>
      </w:pPr>
      <w:bookmarkStart w:id="7" w:name="_fapma3gy87gy" w:colFirst="0" w:colLast="0"/>
      <w:bookmarkEnd w:id="7"/>
      <w:r>
        <w:rPr>
          <w:rFonts w:ascii="Times New Roman" w:eastAsia="Times New Roman" w:hAnsi="Times New Roman" w:cs="Times New Roman"/>
          <w:b/>
          <w:sz w:val="24"/>
          <w:szCs w:val="24"/>
        </w:rPr>
        <w:t>Streetlights</w:t>
      </w:r>
    </w:p>
    <w:p w14:paraId="7D2D64EB"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Village’s </w:t>
      </w:r>
      <w:proofErr w:type="gramStart"/>
      <w:r>
        <w:rPr>
          <w:rFonts w:ascii="Times New Roman" w:eastAsia="Times New Roman" w:hAnsi="Times New Roman" w:cs="Times New Roman"/>
          <w:sz w:val="24"/>
          <w:szCs w:val="24"/>
        </w:rPr>
        <w:t>street lights</w:t>
      </w:r>
      <w:proofErr w:type="gramEnd"/>
      <w:r>
        <w:rPr>
          <w:rFonts w:ascii="Times New Roman" w:eastAsia="Times New Roman" w:hAnsi="Times New Roman" w:cs="Times New Roman"/>
          <w:sz w:val="24"/>
          <w:szCs w:val="24"/>
        </w:rPr>
        <w:t xml:space="preserve"> light up State Route 90 as well as Main Street. For the </w:t>
      </w:r>
      <w:proofErr w:type="gramStart"/>
      <w:r>
        <w:rPr>
          <w:rFonts w:ascii="Times New Roman" w:eastAsia="Times New Roman" w:hAnsi="Times New Roman" w:cs="Times New Roman"/>
          <w:sz w:val="24"/>
          <w:szCs w:val="24"/>
        </w:rPr>
        <w:t>street lights</w:t>
      </w:r>
      <w:proofErr w:type="gramEnd"/>
      <w:r>
        <w:rPr>
          <w:rFonts w:ascii="Times New Roman" w:eastAsia="Times New Roman" w:hAnsi="Times New Roman" w:cs="Times New Roman"/>
          <w:sz w:val="24"/>
          <w:szCs w:val="24"/>
        </w:rPr>
        <w:t xml:space="preserve"> on both of these roads, 9,383 KWH were used, costing $4,401.23.</w:t>
      </w:r>
    </w:p>
    <w:p w14:paraId="5185855B" w14:textId="77777777" w:rsidR="002C4A20" w:rsidRDefault="004E215C">
      <w:pPr>
        <w:pStyle w:val="Heading2"/>
        <w:spacing w:line="480" w:lineRule="auto"/>
        <w:rPr>
          <w:rFonts w:ascii="Times New Roman" w:eastAsia="Times New Roman" w:hAnsi="Times New Roman" w:cs="Times New Roman"/>
          <w:b/>
          <w:sz w:val="24"/>
          <w:szCs w:val="24"/>
        </w:rPr>
      </w:pPr>
      <w:bookmarkStart w:id="8" w:name="_vzxt2kfy9mac" w:colFirst="0" w:colLast="0"/>
      <w:bookmarkEnd w:id="8"/>
      <w:r>
        <w:rPr>
          <w:rFonts w:ascii="Times New Roman" w:eastAsia="Times New Roman" w:hAnsi="Times New Roman" w:cs="Times New Roman"/>
          <w:b/>
          <w:sz w:val="24"/>
          <w:szCs w:val="24"/>
        </w:rPr>
        <w:t>Buildings and Facilities</w:t>
      </w:r>
    </w:p>
    <w:p w14:paraId="0A59C2D0"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Village’s municipal buildings and facilities consist of only the firehouse. The firehouse used 15,960 KWH of electricity for a price of $2,177.63. The firehouse also consumes 117 gallons of propane for a cost of $338.43 and 3648.7 gallons of fuel oil f</w:t>
      </w:r>
      <w:r>
        <w:rPr>
          <w:rFonts w:ascii="Times New Roman" w:eastAsia="Times New Roman" w:hAnsi="Times New Roman" w:cs="Times New Roman"/>
          <w:sz w:val="24"/>
          <w:szCs w:val="24"/>
        </w:rPr>
        <w:t>or a price of $13,624.91.</w:t>
      </w:r>
    </w:p>
    <w:p w14:paraId="3093555E" w14:textId="77777777" w:rsidR="002C4A20" w:rsidRDefault="002C4A20"/>
    <w:p w14:paraId="1F3ECCA5" w14:textId="77777777" w:rsidR="002C4A20" w:rsidRDefault="004E215C">
      <w:pPr>
        <w:pStyle w:val="Heading2"/>
        <w:spacing w:line="480" w:lineRule="auto"/>
        <w:rPr>
          <w:rFonts w:ascii="Times New Roman" w:eastAsia="Times New Roman" w:hAnsi="Times New Roman" w:cs="Times New Roman"/>
          <w:b/>
          <w:sz w:val="24"/>
          <w:szCs w:val="24"/>
        </w:rPr>
      </w:pPr>
      <w:bookmarkStart w:id="9" w:name="_t1h6mzqawkc" w:colFirst="0" w:colLast="0"/>
      <w:bookmarkEnd w:id="9"/>
      <w:r>
        <w:rPr>
          <w:rFonts w:ascii="Times New Roman" w:eastAsia="Times New Roman" w:hAnsi="Times New Roman" w:cs="Times New Roman"/>
          <w:b/>
          <w:sz w:val="24"/>
          <w:szCs w:val="24"/>
        </w:rPr>
        <w:lastRenderedPageBreak/>
        <w:t>Wastewater</w:t>
      </w:r>
    </w:p>
    <w:p w14:paraId="473D9315"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Village’s wastewater treatment plant uses 311,250 KWH of electricity to process wastewater for the 2022 year. This sums up to $24,733.82. Propane is also used in the firehouse, </w:t>
      </w:r>
      <w:proofErr w:type="spellStart"/>
      <w:r>
        <w:rPr>
          <w:rFonts w:ascii="Times New Roman" w:eastAsia="Times New Roman" w:hAnsi="Times New Roman" w:cs="Times New Roman"/>
          <w:sz w:val="24"/>
          <w:szCs w:val="24"/>
        </w:rPr>
        <w:t>totalling</w:t>
      </w:r>
      <w:proofErr w:type="spellEnd"/>
      <w:r>
        <w:rPr>
          <w:rFonts w:ascii="Times New Roman" w:eastAsia="Times New Roman" w:hAnsi="Times New Roman" w:cs="Times New Roman"/>
          <w:sz w:val="24"/>
          <w:szCs w:val="24"/>
        </w:rPr>
        <w:t xml:space="preserve"> 117 gallons, or $338.43 wor</w:t>
      </w:r>
      <w:r>
        <w:rPr>
          <w:rFonts w:ascii="Times New Roman" w:eastAsia="Times New Roman" w:hAnsi="Times New Roman" w:cs="Times New Roman"/>
          <w:sz w:val="24"/>
          <w:szCs w:val="24"/>
        </w:rPr>
        <w:t>th of propane.</w:t>
      </w:r>
    </w:p>
    <w:p w14:paraId="20406EDD" w14:textId="77777777" w:rsidR="002C4A20" w:rsidRDefault="004E215C">
      <w:pPr>
        <w:pStyle w:val="Heading2"/>
        <w:spacing w:line="480" w:lineRule="auto"/>
        <w:rPr>
          <w:rFonts w:ascii="Times New Roman" w:eastAsia="Times New Roman" w:hAnsi="Times New Roman" w:cs="Times New Roman"/>
          <w:b/>
          <w:color w:val="38761D"/>
          <w:sz w:val="28"/>
          <w:szCs w:val="28"/>
        </w:rPr>
      </w:pPr>
      <w:bookmarkStart w:id="10" w:name="_c3ozktk7ha9l" w:colFirst="0" w:colLast="0"/>
      <w:bookmarkEnd w:id="10"/>
      <w:r>
        <w:rPr>
          <w:rFonts w:ascii="Times New Roman" w:eastAsia="Times New Roman" w:hAnsi="Times New Roman" w:cs="Times New Roman"/>
          <w:b/>
          <w:sz w:val="24"/>
          <w:szCs w:val="24"/>
        </w:rPr>
        <w:t>Tank fuels (propane/fuel oil)</w:t>
      </w:r>
    </w:p>
    <w:p w14:paraId="62E9CCC7"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Fuel oil is used in the Village to heat the firehouse. As iterated in the buildings and facilities section, the 2022 year showed that 3648.7 gallons of fuel oil were used for municipal heating at a price of $13,</w:t>
      </w:r>
      <w:r>
        <w:rPr>
          <w:rFonts w:ascii="Times New Roman" w:eastAsia="Times New Roman" w:hAnsi="Times New Roman" w:cs="Times New Roman"/>
          <w:sz w:val="24"/>
          <w:szCs w:val="24"/>
        </w:rPr>
        <w:t>624.91.</w:t>
      </w:r>
    </w:p>
    <w:p w14:paraId="3E61ECD9" w14:textId="77777777" w:rsidR="002C4A20" w:rsidRDefault="002C4A20">
      <w:pPr>
        <w:rPr>
          <w:rFonts w:ascii="Times New Roman" w:eastAsia="Times New Roman" w:hAnsi="Times New Roman" w:cs="Times New Roman"/>
          <w:sz w:val="24"/>
          <w:szCs w:val="24"/>
        </w:rPr>
      </w:pPr>
    </w:p>
    <w:p w14:paraId="4DC812A7" w14:textId="77777777" w:rsidR="002C4A20" w:rsidRDefault="004E215C">
      <w:pPr>
        <w:pStyle w:val="Heading1"/>
        <w:spacing w:line="480" w:lineRule="auto"/>
        <w:rPr>
          <w:rFonts w:ascii="Times New Roman" w:eastAsia="Times New Roman" w:hAnsi="Times New Roman" w:cs="Times New Roman"/>
          <w:sz w:val="24"/>
          <w:szCs w:val="24"/>
        </w:rPr>
      </w:pPr>
      <w:bookmarkStart w:id="11" w:name="_m3hny9q00scw" w:colFirst="0" w:colLast="0"/>
      <w:bookmarkEnd w:id="11"/>
      <w:r>
        <w:rPr>
          <w:rFonts w:ascii="Times New Roman" w:eastAsia="Times New Roman" w:hAnsi="Times New Roman" w:cs="Times New Roman"/>
          <w:color w:val="38761D"/>
          <w:sz w:val="28"/>
          <w:szCs w:val="28"/>
        </w:rPr>
        <w:t xml:space="preserve">Cumulative Emissions Results and Discussion  </w:t>
      </w:r>
    </w:p>
    <w:p w14:paraId="0F8077FF" w14:textId="77777777" w:rsidR="002C4A20" w:rsidRDefault="004E215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Greenhouse Gas Emissions (in metric tons of carbon dioxide equivalent) by Sector Pie Chart</w:t>
      </w:r>
    </w:p>
    <w:p w14:paraId="4E88379F" w14:textId="77777777" w:rsidR="002C4A20" w:rsidRDefault="004E215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68E36495" wp14:editId="76968A6F">
            <wp:extent cx="5138738" cy="38518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138738" cy="3851850"/>
                    </a:xfrm>
                    <a:prstGeom prst="rect">
                      <a:avLst/>
                    </a:prstGeom>
                    <a:ln/>
                  </pic:spPr>
                </pic:pic>
              </a:graphicData>
            </a:graphic>
          </wp:inline>
        </w:drawing>
      </w:r>
    </w:p>
    <w:p w14:paraId="5ACA9B43" w14:textId="77777777" w:rsidR="002C4A20" w:rsidRDefault="002C4A20">
      <w:pPr>
        <w:rPr>
          <w:rFonts w:ascii="Times New Roman" w:eastAsia="Times New Roman" w:hAnsi="Times New Roman" w:cs="Times New Roman"/>
          <w:sz w:val="24"/>
          <w:szCs w:val="24"/>
        </w:rPr>
      </w:pPr>
    </w:p>
    <w:p w14:paraId="29B344A4"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graph serves as an excellent visualization of the proportional distribution of greenhouse gas emissio</w:t>
      </w:r>
      <w:r>
        <w:rPr>
          <w:rFonts w:ascii="Times New Roman" w:eastAsia="Times New Roman" w:hAnsi="Times New Roman" w:cs="Times New Roman"/>
          <w:sz w:val="24"/>
          <w:szCs w:val="24"/>
        </w:rPr>
        <w:t xml:space="preserve">ns by sector. This graph became crucial to the understanding, breakdown, </w:t>
      </w:r>
      <w:r>
        <w:rPr>
          <w:rFonts w:ascii="Times New Roman" w:eastAsia="Times New Roman" w:hAnsi="Times New Roman" w:cs="Times New Roman"/>
          <w:sz w:val="24"/>
          <w:szCs w:val="24"/>
        </w:rPr>
        <w:lastRenderedPageBreak/>
        <w:t xml:space="preserve">and recommendations as it altered prior assumptions around the costliest sector. It was presumed that the recommendations would be centered around electrifying the vehicle fleet, but </w:t>
      </w:r>
      <w:r>
        <w:rPr>
          <w:rFonts w:ascii="Times New Roman" w:eastAsia="Times New Roman" w:hAnsi="Times New Roman" w:cs="Times New Roman"/>
          <w:sz w:val="24"/>
          <w:szCs w:val="24"/>
        </w:rPr>
        <w:t xml:space="preserve">from this graph it was determined to be a valuable recommendation, but not top priority. The wastewater facilities were expected to produce the greatest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w:t>
      </w:r>
      <w:proofErr w:type="gramStart"/>
      <w:r>
        <w:rPr>
          <w:rFonts w:ascii="Times New Roman" w:eastAsia="Times New Roman" w:hAnsi="Times New Roman" w:cs="Times New Roman"/>
          <w:sz w:val="24"/>
          <w:szCs w:val="24"/>
        </w:rPr>
        <w:t>emissions on behalf</w:t>
      </w:r>
      <w:proofErr w:type="gramEnd"/>
      <w:r>
        <w:rPr>
          <w:rFonts w:ascii="Times New Roman" w:eastAsia="Times New Roman" w:hAnsi="Times New Roman" w:cs="Times New Roman"/>
          <w:sz w:val="24"/>
          <w:szCs w:val="24"/>
        </w:rPr>
        <w:t xml:space="preserve"> of how much energy is required to process wastewater. Hence, the proporti</w:t>
      </w:r>
      <w:r>
        <w:rPr>
          <w:rFonts w:ascii="Times New Roman" w:eastAsia="Times New Roman" w:hAnsi="Times New Roman" w:cs="Times New Roman"/>
          <w:sz w:val="24"/>
          <w:szCs w:val="24"/>
        </w:rPr>
        <w:t>on of emissions coming from the firehouse was proportionally alarming.</w:t>
      </w:r>
    </w:p>
    <w:p w14:paraId="5D5CFF40" w14:textId="77777777" w:rsidR="002C4A20" w:rsidRDefault="002C4A20">
      <w:pPr>
        <w:rPr>
          <w:rFonts w:ascii="Times New Roman" w:eastAsia="Times New Roman" w:hAnsi="Times New Roman" w:cs="Times New Roman"/>
          <w:sz w:val="24"/>
          <w:szCs w:val="24"/>
        </w:rPr>
      </w:pPr>
    </w:p>
    <w:p w14:paraId="53B91284" w14:textId="77777777" w:rsidR="002C4A20" w:rsidRDefault="004E215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Greenhouse Gas Emissions (in metric tons of carbon dioxide equivalent) by Sector Bar Graph</w:t>
      </w:r>
    </w:p>
    <w:p w14:paraId="7E082ABD"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0849AA28" wp14:editId="0D116E51">
            <wp:extent cx="6025506" cy="3174057"/>
            <wp:effectExtent l="0" t="0" r="0" b="0"/>
            <wp:docPr id="5"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1"/>
                    <a:srcRect/>
                    <a:stretch>
                      <a:fillRect/>
                    </a:stretch>
                  </pic:blipFill>
                  <pic:spPr>
                    <a:xfrm>
                      <a:off x="0" y="0"/>
                      <a:ext cx="6025506" cy="3174057"/>
                    </a:xfrm>
                    <a:prstGeom prst="rect">
                      <a:avLst/>
                    </a:prstGeom>
                    <a:ln/>
                  </pic:spPr>
                </pic:pic>
              </a:graphicData>
            </a:graphic>
          </wp:inline>
        </w:drawing>
      </w:r>
    </w:p>
    <w:p w14:paraId="1A5C9E3B"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bar graph is the equivalent to the pie chart, but instead highlights the emissions by</w:t>
      </w:r>
      <w:r>
        <w:rPr>
          <w:rFonts w:ascii="Times New Roman" w:eastAsia="Times New Roman" w:hAnsi="Times New Roman" w:cs="Times New Roman"/>
          <w:sz w:val="24"/>
          <w:szCs w:val="24"/>
        </w:rPr>
        <w:t xml:space="preserve"> value rather than in percentage in relation to each sector. This is another way to visualize the data by sector</w:t>
      </w:r>
      <w:r>
        <w:rPr>
          <w:rFonts w:ascii="Times New Roman" w:eastAsia="Times New Roman" w:hAnsi="Times New Roman" w:cs="Times New Roman"/>
          <w:sz w:val="24"/>
          <w:szCs w:val="24"/>
        </w:rPr>
        <w:t>.</w:t>
      </w:r>
    </w:p>
    <w:p w14:paraId="6E2F03CA" w14:textId="77777777" w:rsidR="002C4A20" w:rsidRDefault="002C4A20">
      <w:pPr>
        <w:rPr>
          <w:rFonts w:ascii="Times New Roman" w:eastAsia="Times New Roman" w:hAnsi="Times New Roman" w:cs="Times New Roman"/>
          <w:sz w:val="24"/>
          <w:szCs w:val="24"/>
        </w:rPr>
      </w:pPr>
    </w:p>
    <w:p w14:paraId="1CB14BBB" w14:textId="77777777" w:rsidR="002C4A20" w:rsidRDefault="002C4A20">
      <w:pPr>
        <w:rPr>
          <w:rFonts w:ascii="Times New Roman" w:eastAsia="Times New Roman" w:hAnsi="Times New Roman" w:cs="Times New Roman"/>
          <w:sz w:val="24"/>
          <w:szCs w:val="24"/>
        </w:rPr>
      </w:pPr>
    </w:p>
    <w:p w14:paraId="58B2F569" w14:textId="77777777" w:rsidR="002C4A20" w:rsidRDefault="002C4A20">
      <w:pPr>
        <w:rPr>
          <w:rFonts w:ascii="Times New Roman" w:eastAsia="Times New Roman" w:hAnsi="Times New Roman" w:cs="Times New Roman"/>
          <w:sz w:val="24"/>
          <w:szCs w:val="24"/>
        </w:rPr>
      </w:pPr>
    </w:p>
    <w:p w14:paraId="647DAAFD" w14:textId="77777777" w:rsidR="002C4A20" w:rsidRDefault="002C4A20">
      <w:pPr>
        <w:rPr>
          <w:rFonts w:ascii="Times New Roman" w:eastAsia="Times New Roman" w:hAnsi="Times New Roman" w:cs="Times New Roman"/>
          <w:sz w:val="24"/>
          <w:szCs w:val="24"/>
        </w:rPr>
      </w:pPr>
    </w:p>
    <w:p w14:paraId="441590B0" w14:textId="77777777" w:rsidR="002C4A20" w:rsidRDefault="002C4A20">
      <w:pPr>
        <w:rPr>
          <w:rFonts w:ascii="Times New Roman" w:eastAsia="Times New Roman" w:hAnsi="Times New Roman" w:cs="Times New Roman"/>
          <w:sz w:val="24"/>
          <w:szCs w:val="24"/>
        </w:rPr>
      </w:pPr>
    </w:p>
    <w:p w14:paraId="0A5C958B" w14:textId="77777777" w:rsidR="002C4A20" w:rsidRDefault="002C4A20">
      <w:pPr>
        <w:rPr>
          <w:rFonts w:ascii="Times New Roman" w:eastAsia="Times New Roman" w:hAnsi="Times New Roman" w:cs="Times New Roman"/>
          <w:sz w:val="24"/>
          <w:szCs w:val="24"/>
        </w:rPr>
      </w:pPr>
    </w:p>
    <w:p w14:paraId="1CE1B4AA" w14:textId="77777777" w:rsidR="002C4A20" w:rsidRDefault="002C4A20">
      <w:pPr>
        <w:rPr>
          <w:rFonts w:ascii="Times New Roman" w:eastAsia="Times New Roman" w:hAnsi="Times New Roman" w:cs="Times New Roman"/>
          <w:sz w:val="24"/>
          <w:szCs w:val="24"/>
        </w:rPr>
      </w:pPr>
    </w:p>
    <w:p w14:paraId="19DC95F5" w14:textId="77777777" w:rsidR="002C4A20" w:rsidRDefault="002C4A20">
      <w:pPr>
        <w:rPr>
          <w:rFonts w:ascii="Times New Roman" w:eastAsia="Times New Roman" w:hAnsi="Times New Roman" w:cs="Times New Roman"/>
          <w:sz w:val="24"/>
          <w:szCs w:val="24"/>
        </w:rPr>
      </w:pPr>
    </w:p>
    <w:p w14:paraId="3E719452" w14:textId="77777777" w:rsidR="002C4A20" w:rsidRDefault="002C4A20">
      <w:pPr>
        <w:rPr>
          <w:rFonts w:ascii="Times New Roman" w:eastAsia="Times New Roman" w:hAnsi="Times New Roman" w:cs="Times New Roman"/>
          <w:sz w:val="24"/>
          <w:szCs w:val="24"/>
        </w:rPr>
      </w:pPr>
    </w:p>
    <w:p w14:paraId="2653F019" w14:textId="77777777" w:rsidR="002C4A20" w:rsidRDefault="002C4A20">
      <w:pPr>
        <w:rPr>
          <w:rFonts w:ascii="Times New Roman" w:eastAsia="Times New Roman" w:hAnsi="Times New Roman" w:cs="Times New Roman"/>
          <w:sz w:val="24"/>
          <w:szCs w:val="24"/>
        </w:rPr>
      </w:pPr>
    </w:p>
    <w:p w14:paraId="7D2EAE8B" w14:textId="77777777" w:rsidR="002C4A20" w:rsidRDefault="002C4A20">
      <w:pPr>
        <w:rPr>
          <w:rFonts w:ascii="Times New Roman" w:eastAsia="Times New Roman" w:hAnsi="Times New Roman" w:cs="Times New Roman"/>
          <w:sz w:val="24"/>
          <w:szCs w:val="24"/>
        </w:rPr>
      </w:pPr>
    </w:p>
    <w:p w14:paraId="02EB04EF" w14:textId="77777777" w:rsidR="002C4A20" w:rsidRDefault="002C4A20">
      <w:pPr>
        <w:rPr>
          <w:rFonts w:ascii="Times New Roman" w:eastAsia="Times New Roman" w:hAnsi="Times New Roman" w:cs="Times New Roman"/>
          <w:sz w:val="24"/>
          <w:szCs w:val="24"/>
        </w:rPr>
      </w:pPr>
    </w:p>
    <w:p w14:paraId="0D28F0D0" w14:textId="77777777" w:rsidR="002C4A20" w:rsidRDefault="004E215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Greenhouse Gas Emissions by Energy Type (in metric tons of carbon dioxide equivalent)</w:t>
      </w:r>
    </w:p>
    <w:p w14:paraId="76AB0094" w14:textId="77777777" w:rsidR="002C4A20" w:rsidRDefault="004E215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14:anchorId="70C1CC39" wp14:editId="55C4ACC1">
            <wp:extent cx="4681538" cy="351115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681538" cy="3511153"/>
                    </a:xfrm>
                    <a:prstGeom prst="rect">
                      <a:avLst/>
                    </a:prstGeom>
                    <a:ln/>
                  </pic:spPr>
                </pic:pic>
              </a:graphicData>
            </a:graphic>
          </wp:inline>
        </w:drawing>
      </w:r>
    </w:p>
    <w:p w14:paraId="19421443"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7100544"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graph was very important to the analysis as it indicated the significant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emissions by fuel oil. This influenced the recommendations further as it serv</w:t>
      </w:r>
      <w:r>
        <w:rPr>
          <w:rFonts w:ascii="Times New Roman" w:eastAsia="Times New Roman" w:hAnsi="Times New Roman" w:cs="Times New Roman"/>
          <w:sz w:val="24"/>
          <w:szCs w:val="24"/>
        </w:rPr>
        <w:t>ed as motivation to find ways to reduce or even eliminate fuel oil usage. With the knowledge that the fuel oil is used to heat the firehouse, an implementation of heat pumps is highly recommended to curb emissions and save money as the return on investment</w:t>
      </w:r>
      <w:r>
        <w:rPr>
          <w:rFonts w:ascii="Times New Roman" w:eastAsia="Times New Roman" w:hAnsi="Times New Roman" w:cs="Times New Roman"/>
          <w:sz w:val="24"/>
          <w:szCs w:val="24"/>
        </w:rPr>
        <w:t xml:space="preserve"> could be as soon as a few years.</w:t>
      </w:r>
    </w:p>
    <w:p w14:paraId="5CA6BAA6" w14:textId="77777777" w:rsidR="002C4A20" w:rsidRDefault="002C4A20">
      <w:pPr>
        <w:rPr>
          <w:rFonts w:ascii="Times New Roman" w:eastAsia="Times New Roman" w:hAnsi="Times New Roman" w:cs="Times New Roman"/>
          <w:sz w:val="24"/>
          <w:szCs w:val="24"/>
        </w:rPr>
      </w:pPr>
    </w:p>
    <w:p w14:paraId="03534DF2" w14:textId="77777777" w:rsidR="002C4A20" w:rsidRDefault="002C4A20">
      <w:pPr>
        <w:rPr>
          <w:rFonts w:ascii="Times New Roman" w:eastAsia="Times New Roman" w:hAnsi="Times New Roman" w:cs="Times New Roman"/>
          <w:sz w:val="24"/>
          <w:szCs w:val="24"/>
        </w:rPr>
      </w:pPr>
    </w:p>
    <w:p w14:paraId="2DE1F603" w14:textId="77777777" w:rsidR="002C4A20" w:rsidRDefault="002C4A20">
      <w:pPr>
        <w:rPr>
          <w:rFonts w:ascii="Times New Roman" w:eastAsia="Times New Roman" w:hAnsi="Times New Roman" w:cs="Times New Roman"/>
          <w:sz w:val="24"/>
          <w:szCs w:val="24"/>
        </w:rPr>
      </w:pPr>
    </w:p>
    <w:p w14:paraId="50A7944D" w14:textId="77777777" w:rsidR="002C4A20" w:rsidRDefault="002C4A20">
      <w:pPr>
        <w:rPr>
          <w:rFonts w:ascii="Times New Roman" w:eastAsia="Times New Roman" w:hAnsi="Times New Roman" w:cs="Times New Roman"/>
          <w:sz w:val="24"/>
          <w:szCs w:val="24"/>
        </w:rPr>
      </w:pPr>
    </w:p>
    <w:p w14:paraId="47F13C31" w14:textId="77777777" w:rsidR="002C4A20" w:rsidRDefault="002C4A20">
      <w:pPr>
        <w:rPr>
          <w:rFonts w:ascii="Times New Roman" w:eastAsia="Times New Roman" w:hAnsi="Times New Roman" w:cs="Times New Roman"/>
          <w:sz w:val="24"/>
          <w:szCs w:val="24"/>
        </w:rPr>
      </w:pPr>
    </w:p>
    <w:p w14:paraId="0C9F0510" w14:textId="77777777" w:rsidR="002C4A20" w:rsidRDefault="002C4A20">
      <w:pPr>
        <w:rPr>
          <w:rFonts w:ascii="Times New Roman" w:eastAsia="Times New Roman" w:hAnsi="Times New Roman" w:cs="Times New Roman"/>
          <w:sz w:val="24"/>
          <w:szCs w:val="24"/>
        </w:rPr>
      </w:pPr>
    </w:p>
    <w:p w14:paraId="4B91E172" w14:textId="77777777" w:rsidR="002C4A20" w:rsidRDefault="002C4A20">
      <w:pPr>
        <w:rPr>
          <w:rFonts w:ascii="Times New Roman" w:eastAsia="Times New Roman" w:hAnsi="Times New Roman" w:cs="Times New Roman"/>
          <w:sz w:val="24"/>
          <w:szCs w:val="24"/>
        </w:rPr>
      </w:pPr>
    </w:p>
    <w:p w14:paraId="3682B9D1" w14:textId="77777777" w:rsidR="002C4A20" w:rsidRDefault="002C4A20">
      <w:pPr>
        <w:rPr>
          <w:rFonts w:ascii="Times New Roman" w:eastAsia="Times New Roman" w:hAnsi="Times New Roman" w:cs="Times New Roman"/>
          <w:sz w:val="24"/>
          <w:szCs w:val="24"/>
        </w:rPr>
      </w:pPr>
    </w:p>
    <w:p w14:paraId="501F53E0" w14:textId="77777777" w:rsidR="002C4A20" w:rsidRDefault="002C4A20">
      <w:pPr>
        <w:rPr>
          <w:rFonts w:ascii="Times New Roman" w:eastAsia="Times New Roman" w:hAnsi="Times New Roman" w:cs="Times New Roman"/>
          <w:sz w:val="24"/>
          <w:szCs w:val="24"/>
        </w:rPr>
      </w:pPr>
    </w:p>
    <w:p w14:paraId="5CE1A71E" w14:textId="77777777" w:rsidR="002C4A20" w:rsidRDefault="002C4A20">
      <w:pPr>
        <w:rPr>
          <w:rFonts w:ascii="Times New Roman" w:eastAsia="Times New Roman" w:hAnsi="Times New Roman" w:cs="Times New Roman"/>
          <w:sz w:val="24"/>
          <w:szCs w:val="24"/>
        </w:rPr>
      </w:pPr>
    </w:p>
    <w:p w14:paraId="57D51592" w14:textId="77777777" w:rsidR="002C4A20" w:rsidRDefault="002C4A20">
      <w:pPr>
        <w:rPr>
          <w:rFonts w:ascii="Times New Roman" w:eastAsia="Times New Roman" w:hAnsi="Times New Roman" w:cs="Times New Roman"/>
          <w:sz w:val="24"/>
          <w:szCs w:val="24"/>
        </w:rPr>
      </w:pPr>
    </w:p>
    <w:p w14:paraId="24A95C8E" w14:textId="77777777" w:rsidR="002C4A20" w:rsidRDefault="002C4A20">
      <w:pPr>
        <w:rPr>
          <w:rFonts w:ascii="Times New Roman" w:eastAsia="Times New Roman" w:hAnsi="Times New Roman" w:cs="Times New Roman"/>
          <w:sz w:val="24"/>
          <w:szCs w:val="24"/>
        </w:rPr>
      </w:pPr>
    </w:p>
    <w:p w14:paraId="10507740" w14:textId="77777777" w:rsidR="002C4A20" w:rsidRDefault="002C4A20">
      <w:pPr>
        <w:rPr>
          <w:rFonts w:ascii="Times New Roman" w:eastAsia="Times New Roman" w:hAnsi="Times New Roman" w:cs="Times New Roman"/>
          <w:sz w:val="24"/>
          <w:szCs w:val="24"/>
        </w:rPr>
      </w:pPr>
    </w:p>
    <w:p w14:paraId="79FB868C" w14:textId="77777777" w:rsidR="002C4A20" w:rsidRDefault="002C4A20">
      <w:pPr>
        <w:rPr>
          <w:rFonts w:ascii="Times New Roman" w:eastAsia="Times New Roman" w:hAnsi="Times New Roman" w:cs="Times New Roman"/>
          <w:sz w:val="24"/>
          <w:szCs w:val="24"/>
        </w:rPr>
      </w:pPr>
    </w:p>
    <w:p w14:paraId="4165A0D2" w14:textId="77777777" w:rsidR="002C4A20" w:rsidRDefault="002C4A20">
      <w:pPr>
        <w:rPr>
          <w:rFonts w:ascii="Times New Roman" w:eastAsia="Times New Roman" w:hAnsi="Times New Roman" w:cs="Times New Roman"/>
          <w:sz w:val="24"/>
          <w:szCs w:val="24"/>
        </w:rPr>
      </w:pPr>
    </w:p>
    <w:p w14:paraId="72D76AC8" w14:textId="77777777" w:rsidR="002C4A20" w:rsidRDefault="002C4A20">
      <w:pPr>
        <w:rPr>
          <w:rFonts w:ascii="Times New Roman" w:eastAsia="Times New Roman" w:hAnsi="Times New Roman" w:cs="Times New Roman"/>
          <w:sz w:val="24"/>
          <w:szCs w:val="24"/>
        </w:rPr>
      </w:pPr>
    </w:p>
    <w:p w14:paraId="4D287A55" w14:textId="77777777" w:rsidR="002C4A20" w:rsidRDefault="004E215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Annual Energy Use by Facility</w:t>
      </w:r>
    </w:p>
    <w:p w14:paraId="24E9FC80" w14:textId="06A0AD7E" w:rsidR="002C4A20" w:rsidRDefault="004E215C">
      <w:pPr>
        <w:jc w:val="center"/>
        <w:rPr>
          <w:rFonts w:ascii="Times New Roman" w:eastAsia="Times New Roman" w:hAnsi="Times New Roman" w:cs="Times New Roman"/>
          <w:sz w:val="24"/>
          <w:szCs w:val="24"/>
        </w:rPr>
      </w:pPr>
      <w:r>
        <w:rPr>
          <w:noProof/>
        </w:rPr>
        <w:lastRenderedPageBreak/>
        <w:drawing>
          <wp:inline distT="0" distB="0" distL="0" distR="0" wp14:anchorId="5D2C5F56" wp14:editId="27BC2788">
            <wp:extent cx="5715000" cy="3533775"/>
            <wp:effectExtent l="0" t="0" r="0" b="9525"/>
            <wp:docPr id="1369295261" name="Chart 1" title="Chart">
              <a:extLst xmlns:a="http://schemas.openxmlformats.org/drawingml/2006/main">
                <a:ext uri="{FF2B5EF4-FFF2-40B4-BE49-F238E27FC236}">
                  <a16:creationId xmlns:a16="http://schemas.microsoft.com/office/drawing/2014/main" id="{00000000-0008-0000-0100-0000014A1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888A60"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pie chart serves as an indicator of energy consumption by facility. The message here is to emphasize the vast energy use difference from the wastewater treatment plant </w:t>
      </w:r>
      <w:r>
        <w:rPr>
          <w:rFonts w:ascii="Times New Roman" w:eastAsia="Times New Roman" w:hAnsi="Times New Roman" w:cs="Times New Roman"/>
          <w:sz w:val="24"/>
          <w:szCs w:val="24"/>
        </w:rPr>
        <w:t>and every other facility. The treatment plant uses the most energy by a landslide. However, it is important to still consider ways to reduce costs and emissions for the other sectors, as they are more manageable sectors to transform.</w:t>
      </w:r>
    </w:p>
    <w:p w14:paraId="7431507A" w14:textId="77777777" w:rsidR="002C4A20" w:rsidRDefault="002C4A20">
      <w:pPr>
        <w:rPr>
          <w:rFonts w:ascii="Times New Roman" w:eastAsia="Times New Roman" w:hAnsi="Times New Roman" w:cs="Times New Roman"/>
          <w:sz w:val="24"/>
          <w:szCs w:val="24"/>
        </w:rPr>
      </w:pPr>
    </w:p>
    <w:p w14:paraId="22E93CBA" w14:textId="77777777" w:rsidR="002C4A20" w:rsidRDefault="004E215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Energy Cost by Fuel T</w:t>
      </w:r>
      <w:r>
        <w:rPr>
          <w:rFonts w:ascii="Times New Roman" w:eastAsia="Times New Roman" w:hAnsi="Times New Roman" w:cs="Times New Roman"/>
          <w:sz w:val="24"/>
          <w:szCs w:val="24"/>
        </w:rPr>
        <w:t>ype</w:t>
      </w:r>
    </w:p>
    <w:p w14:paraId="68CB6E54" w14:textId="77777777" w:rsidR="002C4A20" w:rsidRDefault="004E215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14:anchorId="12FC5FDC" wp14:editId="76F640E7">
            <wp:extent cx="5943600" cy="3378200"/>
            <wp:effectExtent l="0" t="0" r="0" b="0"/>
            <wp:docPr id="7"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4"/>
                    <a:srcRect/>
                    <a:stretch>
                      <a:fillRect/>
                    </a:stretch>
                  </pic:blipFill>
                  <pic:spPr>
                    <a:xfrm>
                      <a:off x="0" y="0"/>
                      <a:ext cx="5943600" cy="3378200"/>
                    </a:xfrm>
                    <a:prstGeom prst="rect">
                      <a:avLst/>
                    </a:prstGeom>
                    <a:ln/>
                  </pic:spPr>
                </pic:pic>
              </a:graphicData>
            </a:graphic>
          </wp:inline>
        </w:drawing>
      </w:r>
    </w:p>
    <w:p w14:paraId="5F5486A6"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bar graph provides an energy cost breakdown by each fuel type. Here, it is critical to note the cost of fuel oil being $13,624.91 for the 2022 year. This is the cost to heat the firehouse for one year, which is very expensive. Through combining</w:t>
      </w:r>
      <w:r>
        <w:rPr>
          <w:rFonts w:ascii="Times New Roman" w:eastAsia="Times New Roman" w:hAnsi="Times New Roman" w:cs="Times New Roman"/>
          <w:sz w:val="24"/>
          <w:szCs w:val="24"/>
        </w:rPr>
        <w:t xml:space="preserve"> information from the “Greenhouse Gas Emissions by Energy Type” bar graph (figure 3</w:t>
      </w:r>
      <w:proofErr w:type="gramStart"/>
      <w:r>
        <w:rPr>
          <w:rFonts w:ascii="Times New Roman" w:eastAsia="Times New Roman" w:hAnsi="Times New Roman" w:cs="Times New Roman"/>
          <w:sz w:val="24"/>
          <w:szCs w:val="24"/>
        </w:rPr>
        <w:t>), and this graph</w:t>
      </w:r>
      <w:proofErr w:type="gramEnd"/>
      <w:r>
        <w:rPr>
          <w:rFonts w:ascii="Times New Roman" w:eastAsia="Times New Roman" w:hAnsi="Times New Roman" w:cs="Times New Roman"/>
          <w:sz w:val="24"/>
          <w:szCs w:val="24"/>
        </w:rPr>
        <w:t>, it can be confidently determined that fuel oil is both costly for the Village and environment. Investing in an alternate system such as heat pumps or geot</w:t>
      </w:r>
      <w:r>
        <w:rPr>
          <w:rFonts w:ascii="Times New Roman" w:eastAsia="Times New Roman" w:hAnsi="Times New Roman" w:cs="Times New Roman"/>
          <w:sz w:val="24"/>
          <w:szCs w:val="24"/>
        </w:rPr>
        <w:t>hermal systems will likely turn around return on investment within a few years given these tremendous annual fuel costs.</w:t>
      </w:r>
    </w:p>
    <w:p w14:paraId="48BE6AFE" w14:textId="77777777" w:rsidR="002C4A20" w:rsidRDefault="002C4A20">
      <w:pPr>
        <w:rPr>
          <w:rFonts w:ascii="Times New Roman" w:eastAsia="Times New Roman" w:hAnsi="Times New Roman" w:cs="Times New Roman"/>
          <w:sz w:val="24"/>
          <w:szCs w:val="24"/>
        </w:rPr>
      </w:pPr>
    </w:p>
    <w:p w14:paraId="4C1B6033" w14:textId="77777777" w:rsidR="002C4A20" w:rsidRDefault="004E215C">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Emissions by Scope</w:t>
      </w:r>
    </w:p>
    <w:p w14:paraId="51465AC5"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noProof/>
          <w:sz w:val="24"/>
          <w:szCs w:val="24"/>
        </w:rPr>
        <w:drawing>
          <wp:inline distT="114300" distB="114300" distL="114300" distR="114300" wp14:anchorId="6024D0C8" wp14:editId="7F6A7406">
            <wp:extent cx="5624513" cy="3470252"/>
            <wp:effectExtent l="0" t="0" r="0" b="0"/>
            <wp:docPr id="6"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15"/>
                    <a:srcRect/>
                    <a:stretch>
                      <a:fillRect/>
                    </a:stretch>
                  </pic:blipFill>
                  <pic:spPr>
                    <a:xfrm>
                      <a:off x="0" y="0"/>
                      <a:ext cx="5624513" cy="3470252"/>
                    </a:xfrm>
                    <a:prstGeom prst="rect">
                      <a:avLst/>
                    </a:prstGeom>
                    <a:ln/>
                  </pic:spPr>
                </pic:pic>
              </a:graphicData>
            </a:graphic>
          </wp:inline>
        </w:drawing>
      </w:r>
    </w:p>
    <w:p w14:paraId="13151408"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This pie chart shows a breakdown of Aurora’s emissions by scope.  The Village produces more scope 1 emissions than scope 2, meaning in-house municipal emissions from Aurora are greater than emissions produced by the local electric plant in providing the mu</w:t>
      </w:r>
      <w:r>
        <w:rPr>
          <w:rFonts w:ascii="Times New Roman" w:eastAsia="Times New Roman" w:hAnsi="Times New Roman" w:cs="Times New Roman"/>
          <w:sz w:val="24"/>
          <w:szCs w:val="24"/>
        </w:rPr>
        <w:t>nicipality’s annual 336.6 megawatts/hour.  100% of scope 1 emissions are due to fuel oil used in the firehouse, underscoring how much carbon and money goes into maintaining that system.</w:t>
      </w:r>
    </w:p>
    <w:p w14:paraId="2AAE2FEE" w14:textId="77777777" w:rsidR="002C4A20" w:rsidRDefault="002C4A20">
      <w:pPr>
        <w:rPr>
          <w:rFonts w:ascii="Times New Roman" w:eastAsia="Times New Roman" w:hAnsi="Times New Roman" w:cs="Times New Roman"/>
          <w:sz w:val="24"/>
          <w:szCs w:val="24"/>
        </w:rPr>
      </w:pPr>
    </w:p>
    <w:p w14:paraId="777179B3" w14:textId="77777777" w:rsidR="002C4A20" w:rsidRDefault="002C4A20">
      <w:pPr>
        <w:rPr>
          <w:rFonts w:ascii="Times New Roman" w:eastAsia="Times New Roman" w:hAnsi="Times New Roman" w:cs="Times New Roman"/>
          <w:sz w:val="24"/>
          <w:szCs w:val="24"/>
        </w:rPr>
      </w:pPr>
    </w:p>
    <w:p w14:paraId="5756C9BA" w14:textId="77777777" w:rsidR="002C4A20" w:rsidRDefault="002C4A20">
      <w:pPr>
        <w:rPr>
          <w:rFonts w:ascii="Times New Roman" w:eastAsia="Times New Roman" w:hAnsi="Times New Roman" w:cs="Times New Roman"/>
          <w:sz w:val="24"/>
          <w:szCs w:val="24"/>
        </w:rPr>
      </w:pPr>
    </w:p>
    <w:p w14:paraId="3785CE98" w14:textId="77777777" w:rsidR="002C4A20" w:rsidRDefault="004E215C">
      <w:pPr>
        <w:pStyle w:val="Heading1"/>
        <w:spacing w:line="480" w:lineRule="auto"/>
        <w:rPr>
          <w:rFonts w:ascii="Times New Roman" w:eastAsia="Times New Roman" w:hAnsi="Times New Roman" w:cs="Times New Roman"/>
          <w:sz w:val="24"/>
          <w:szCs w:val="24"/>
        </w:rPr>
      </w:pPr>
      <w:bookmarkStart w:id="12" w:name="_gm6i5uofabz2" w:colFirst="0" w:colLast="0"/>
      <w:bookmarkEnd w:id="12"/>
      <w:r>
        <w:rPr>
          <w:rFonts w:ascii="Times New Roman" w:eastAsia="Times New Roman" w:hAnsi="Times New Roman" w:cs="Times New Roman"/>
          <w:color w:val="38761D"/>
          <w:sz w:val="28"/>
          <w:szCs w:val="28"/>
        </w:rPr>
        <w:t>Recommendations</w:t>
      </w:r>
    </w:p>
    <w:p w14:paraId="235377E2" w14:textId="77777777" w:rsidR="002C4A20" w:rsidRDefault="004E215C">
      <w:pPr>
        <w:ind w:firstLine="720"/>
      </w:pPr>
      <w:r>
        <w:rPr>
          <w:rFonts w:ascii="Times New Roman" w:eastAsia="Times New Roman" w:hAnsi="Times New Roman" w:cs="Times New Roman"/>
          <w:sz w:val="24"/>
          <w:szCs w:val="24"/>
        </w:rPr>
        <w:t>The following recommendations were made to reduce c</w:t>
      </w:r>
      <w:r>
        <w:rPr>
          <w:rFonts w:ascii="Times New Roman" w:eastAsia="Times New Roman" w:hAnsi="Times New Roman" w:cs="Times New Roman"/>
          <w:sz w:val="24"/>
          <w:szCs w:val="24"/>
        </w:rPr>
        <w:t xml:space="preserve">osts, emissions, and energy and fuel consumption for the Village of Aurora based on the GHG Inventory results. The recommendations are divided between Climate Smart Communities compliance and specific reductions strategies. </w:t>
      </w:r>
    </w:p>
    <w:p w14:paraId="542AEAB3"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First, it is highly recommended</w:t>
      </w:r>
      <w:r>
        <w:rPr>
          <w:rFonts w:ascii="Times New Roman" w:eastAsia="Times New Roman" w:hAnsi="Times New Roman" w:cs="Times New Roman"/>
          <w:sz w:val="24"/>
          <w:szCs w:val="24"/>
        </w:rPr>
        <w:t xml:space="preserve"> that the Village form a Climate Smart Communities Task Force to help identify further actions the Village can take to earn points towards CSC Certification. This can be an advisory board or steering committee that advises and collaborates with the Village</w:t>
      </w:r>
      <w:r>
        <w:rPr>
          <w:rFonts w:ascii="Times New Roman" w:eastAsia="Times New Roman" w:hAnsi="Times New Roman" w:cs="Times New Roman"/>
          <w:sz w:val="24"/>
          <w:szCs w:val="24"/>
        </w:rPr>
        <w:t xml:space="preserve"> to accomplish plans, programs, and activities that are part of the CSC </w:t>
      </w:r>
      <w:r>
        <w:rPr>
          <w:rFonts w:ascii="Times New Roman" w:eastAsia="Times New Roman" w:hAnsi="Times New Roman" w:cs="Times New Roman"/>
          <w:sz w:val="24"/>
          <w:szCs w:val="24"/>
        </w:rPr>
        <w:lastRenderedPageBreak/>
        <w:t>Certification program. The Task Force can be a mix of community members and municipal representatives.</w:t>
      </w:r>
      <w:r>
        <w:rPr>
          <w:rFonts w:ascii="Times New Roman" w:eastAsia="Times New Roman" w:hAnsi="Times New Roman" w:cs="Times New Roman"/>
          <w:sz w:val="24"/>
          <w:szCs w:val="24"/>
          <w:vertAlign w:val="superscript"/>
        </w:rPr>
        <w:footnoteReference w:id="4"/>
      </w:r>
    </w:p>
    <w:p w14:paraId="0D7AA774"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Village of Aurora may submit the data contained in this report for the Gove</w:t>
      </w:r>
      <w:r>
        <w:rPr>
          <w:rFonts w:ascii="Times New Roman" w:eastAsia="Times New Roman" w:hAnsi="Times New Roman" w:cs="Times New Roman"/>
          <w:sz w:val="24"/>
          <w:szCs w:val="24"/>
        </w:rPr>
        <w:t>rnment Operations GHG Inventory action. The Village will gain 16 points towards their Climate Smart Communities certification.</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The inventory we have prepared includes the necessary requirements for this action, like Scope 1 and Scope 2 emissions. Scope 1</w:t>
      </w:r>
      <w:r>
        <w:rPr>
          <w:rFonts w:ascii="Times New Roman" w:eastAsia="Times New Roman" w:hAnsi="Times New Roman" w:cs="Times New Roman"/>
          <w:sz w:val="24"/>
          <w:szCs w:val="24"/>
        </w:rPr>
        <w:t xml:space="preserve"> emissions are the direct emission from the municipality like government-owned vehicles, onsite fuel combustion (e.g., natural gas, propane, or fuel oil), and wastewater treatment facilities. Scope 2 emissions are indirect emissions such as purchased elect</w:t>
      </w:r>
      <w:r>
        <w:rPr>
          <w:rFonts w:ascii="Times New Roman" w:eastAsia="Times New Roman" w:hAnsi="Times New Roman" w:cs="Times New Roman"/>
          <w:sz w:val="24"/>
          <w:szCs w:val="24"/>
        </w:rPr>
        <w:t>ricity.</w:t>
      </w:r>
      <w:r>
        <w:rPr>
          <w:rFonts w:ascii="Times New Roman" w:eastAsia="Times New Roman" w:hAnsi="Times New Roman" w:cs="Times New Roman"/>
          <w:sz w:val="24"/>
          <w:szCs w:val="24"/>
          <w:vertAlign w:val="superscript"/>
        </w:rPr>
        <w:footnoteReference w:id="6"/>
      </w:r>
    </w:p>
    <w:p w14:paraId="3576B920"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Next, the Village can develop a Government Operations Climate Action Plan, which includes this data, GHG reduction targets, and initiatives to reduce those emissions. A municipal climate action plan is a time-consuming and expensive endeavor, but</w:t>
      </w:r>
      <w:r>
        <w:rPr>
          <w:rFonts w:ascii="Times New Roman" w:eastAsia="Times New Roman" w:hAnsi="Times New Roman" w:cs="Times New Roman"/>
          <w:sz w:val="24"/>
          <w:szCs w:val="24"/>
        </w:rPr>
        <w:t xml:space="preserve"> CSC offers technical assistance and funding for this action. A climate action plan includes the specific initiatives that the municipality will take to reduce their greenhouse gas emissions. New York State’s climate act requires a reduction in GHG emissio</w:t>
      </w:r>
      <w:r>
        <w:rPr>
          <w:rFonts w:ascii="Times New Roman" w:eastAsia="Times New Roman" w:hAnsi="Times New Roman" w:cs="Times New Roman"/>
          <w:sz w:val="24"/>
          <w:szCs w:val="24"/>
        </w:rPr>
        <w:t>ns of 40 percent by 2030 and 85 percent by 2050 (below 1990 levels).</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Climate Smart Communities encourage municipalities to align their targets with state goals. </w:t>
      </w:r>
    </w:p>
    <w:p w14:paraId="26A8CC01"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Village of Aurora may choose to conduct a Community GHG Emissions Inventory. This is not</w:t>
      </w:r>
      <w:r>
        <w:rPr>
          <w:rFonts w:ascii="Times New Roman" w:eastAsia="Times New Roman" w:hAnsi="Times New Roman" w:cs="Times New Roman"/>
          <w:sz w:val="24"/>
          <w:szCs w:val="24"/>
        </w:rPr>
        <w:t xml:space="preserve"> required for certification, but as CSC notes, “Government operations typically account for less than three percent of a community’s emissions.”</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It’s important to understand how the industries, businesses, schools, homes, and vehicles in the entire Villa</w:t>
      </w:r>
      <w:r>
        <w:rPr>
          <w:rFonts w:ascii="Times New Roman" w:eastAsia="Times New Roman" w:hAnsi="Times New Roman" w:cs="Times New Roman"/>
          <w:sz w:val="24"/>
          <w:szCs w:val="24"/>
        </w:rPr>
        <w:t>ge are contributing to climate change. Both the government operations GHG inventory and community GHG emissions inventory will show a more comprehensive picture of where reductions can be made in emissions and costs.</w:t>
      </w:r>
    </w:p>
    <w:p w14:paraId="34A711DD" w14:textId="77777777" w:rsidR="002C4A20" w:rsidRDefault="004E215C">
      <w:pPr>
        <w:ind w:firstLine="720"/>
      </w:pPr>
      <w:r>
        <w:rPr>
          <w:rFonts w:ascii="Times New Roman" w:eastAsia="Times New Roman" w:hAnsi="Times New Roman" w:cs="Times New Roman"/>
          <w:sz w:val="24"/>
          <w:szCs w:val="24"/>
        </w:rPr>
        <w:t>Lastly, we would recommend inputting GH</w:t>
      </w:r>
      <w:r>
        <w:rPr>
          <w:rFonts w:ascii="Times New Roman" w:eastAsia="Times New Roman" w:hAnsi="Times New Roman" w:cs="Times New Roman"/>
          <w:sz w:val="24"/>
          <w:szCs w:val="24"/>
        </w:rPr>
        <w:t xml:space="preserve">G and energy data from preceding years into the JIM tool, if time allows. This step is not required for CSC compliance, but this would allow the Village to better understand their GHG emissions and energy consumption trends. </w:t>
      </w:r>
    </w:p>
    <w:p w14:paraId="08651A6A"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following are specific Gre</w:t>
      </w:r>
      <w:r>
        <w:rPr>
          <w:rFonts w:ascii="Times New Roman" w:eastAsia="Times New Roman" w:hAnsi="Times New Roman" w:cs="Times New Roman"/>
          <w:sz w:val="24"/>
          <w:szCs w:val="24"/>
        </w:rPr>
        <w:t>enhouse Gas Reductions that the Village could implement. As seen in the data, the wastewater treatment plant and the firehouse are the most expensive buildings with the highest emissions by sector. In 2022, the wastewater treatment plant required 308,000 k</w:t>
      </w:r>
      <w:r>
        <w:rPr>
          <w:rFonts w:ascii="Times New Roman" w:eastAsia="Times New Roman" w:hAnsi="Times New Roman" w:cs="Times New Roman"/>
          <w:sz w:val="24"/>
          <w:szCs w:val="24"/>
        </w:rPr>
        <w:t xml:space="preserve">ilowatt hours of electricity to operate, costing the Village of Aurora over $24,000. It is recommended that the Village perform a detailed audit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their wastewater treatment plant to determine areas where it would be possible to increase efficiency and re</w:t>
      </w:r>
      <w:r>
        <w:rPr>
          <w:rFonts w:ascii="Times New Roman" w:eastAsia="Times New Roman" w:hAnsi="Times New Roman" w:cs="Times New Roman"/>
          <w:sz w:val="24"/>
          <w:szCs w:val="24"/>
        </w:rPr>
        <w:t>duce costs. The first step in this process is to conduct an evaluation of the plant using the Water Resource Foundation’s self-assessment.</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Next, it would be advisable to evaluate the existing technology and ensure that it is functioning properly. If poss</w:t>
      </w:r>
      <w:r>
        <w:rPr>
          <w:rFonts w:ascii="Times New Roman" w:eastAsia="Times New Roman" w:hAnsi="Times New Roman" w:cs="Times New Roman"/>
          <w:sz w:val="24"/>
          <w:szCs w:val="24"/>
        </w:rPr>
        <w:t>ible, older technology should be replaced, as it has the potential to reduce water waste and energy consumption.</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If the plant currently uses constant speed pumps, they should be retrofitted with variable frequency drives, which can reduce energy use by u</w:t>
      </w:r>
      <w:r>
        <w:rPr>
          <w:rFonts w:ascii="Times New Roman" w:eastAsia="Times New Roman" w:hAnsi="Times New Roman" w:cs="Times New Roman"/>
          <w:sz w:val="24"/>
          <w:szCs w:val="24"/>
        </w:rPr>
        <w:t>p to 50%.</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One example of smart technology that could be used to monitor water usage is Automated Meter Reading (AMR), which collects data from the water meter more efficiently for faster interpretation; this is used in conjunction with Advanced Metering </w:t>
      </w:r>
      <w:r>
        <w:rPr>
          <w:rFonts w:ascii="Times New Roman" w:eastAsia="Times New Roman" w:hAnsi="Times New Roman" w:cs="Times New Roman"/>
          <w:sz w:val="24"/>
          <w:szCs w:val="24"/>
        </w:rPr>
        <w:t>Infrastructure (AMI) to gather comprehensive data.</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Another strategy to decrease energy use of WWTP is the conversion of biogas products into electricity and heat with fuel cell generators. If the Village could connect the WWTP to nearby community wind or</w:t>
      </w:r>
      <w:r>
        <w:rPr>
          <w:rFonts w:ascii="Times New Roman" w:eastAsia="Times New Roman" w:hAnsi="Times New Roman" w:cs="Times New Roman"/>
          <w:sz w:val="24"/>
          <w:szCs w:val="24"/>
        </w:rPr>
        <w:t xml:space="preserve"> solar farms, they could reduce their dependence on fossil fuel electricity generation. </w:t>
      </w:r>
    </w:p>
    <w:p w14:paraId="29B300CB"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firehouse also produces a large portion of the Village’s Greenhouse Gas emissions from burning heating oil, which is also very costly. It would be advisable to mov</w:t>
      </w:r>
      <w:r>
        <w:rPr>
          <w:rFonts w:ascii="Times New Roman" w:eastAsia="Times New Roman" w:hAnsi="Times New Roman" w:cs="Times New Roman"/>
          <w:sz w:val="24"/>
          <w:szCs w:val="24"/>
        </w:rPr>
        <w:t xml:space="preserve">e away from this form of fossil </w:t>
      </w:r>
      <w:proofErr w:type="gramStart"/>
      <w:r>
        <w:rPr>
          <w:rFonts w:ascii="Times New Roman" w:eastAsia="Times New Roman" w:hAnsi="Times New Roman" w:cs="Times New Roman"/>
          <w:sz w:val="24"/>
          <w:szCs w:val="24"/>
        </w:rPr>
        <w:t>fuel, and</w:t>
      </w:r>
      <w:proofErr w:type="gramEnd"/>
      <w:r>
        <w:rPr>
          <w:rFonts w:ascii="Times New Roman" w:eastAsia="Times New Roman" w:hAnsi="Times New Roman" w:cs="Times New Roman"/>
          <w:sz w:val="24"/>
          <w:szCs w:val="24"/>
        </w:rPr>
        <w:t xml:space="preserve"> install heat pumps or geothermal heat pumps if feasible. This could be paired with solar panel installations on the firehouse to run the heat pumps. </w:t>
      </w:r>
    </w:p>
    <w:p w14:paraId="53322CA2"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municipal vehicles make up a smaller portion of GHG emi</w:t>
      </w:r>
      <w:r>
        <w:rPr>
          <w:rFonts w:ascii="Times New Roman" w:eastAsia="Times New Roman" w:hAnsi="Times New Roman" w:cs="Times New Roman"/>
          <w:sz w:val="24"/>
          <w:szCs w:val="24"/>
        </w:rPr>
        <w:t xml:space="preserve">ssions, Climate Smart Communities </w:t>
      </w:r>
      <w:proofErr w:type="gramStart"/>
      <w:r>
        <w:rPr>
          <w:rFonts w:ascii="Times New Roman" w:eastAsia="Times New Roman" w:hAnsi="Times New Roman" w:cs="Times New Roman"/>
          <w:sz w:val="24"/>
          <w:szCs w:val="24"/>
        </w:rPr>
        <w:t>offers</w:t>
      </w:r>
      <w:proofErr w:type="gramEnd"/>
      <w:r>
        <w:rPr>
          <w:rFonts w:ascii="Times New Roman" w:eastAsia="Times New Roman" w:hAnsi="Times New Roman" w:cs="Times New Roman"/>
          <w:sz w:val="24"/>
          <w:szCs w:val="24"/>
        </w:rPr>
        <w:t xml:space="preserve"> rebates for municipalities purchasing full electric, hybrid, or hydrogen-powered vehicles- or Zero Emission Vehicles (</w:t>
      </w:r>
      <w:proofErr w:type="spellStart"/>
      <w:r>
        <w:rPr>
          <w:rFonts w:ascii="Times New Roman" w:eastAsia="Times New Roman" w:hAnsi="Times New Roman" w:cs="Times New Roman"/>
          <w:sz w:val="24"/>
          <w:szCs w:val="24"/>
        </w:rPr>
        <w:t>zevs</w:t>
      </w:r>
      <w:proofErr w:type="spellEnd"/>
      <w:r>
        <w:rPr>
          <w:rFonts w:ascii="Times New Roman" w:eastAsia="Times New Roman" w:hAnsi="Times New Roman" w:cs="Times New Roman"/>
          <w:sz w:val="24"/>
          <w:szCs w:val="24"/>
        </w:rPr>
        <w:t>). These rebates do not cover the full cost of the vehicles, but these rebates help municipal</w:t>
      </w:r>
      <w:r>
        <w:rPr>
          <w:rFonts w:ascii="Times New Roman" w:eastAsia="Times New Roman" w:hAnsi="Times New Roman" w:cs="Times New Roman"/>
          <w:sz w:val="24"/>
          <w:szCs w:val="24"/>
        </w:rPr>
        <w:t xml:space="preserve">ities afford these vehicles to further their emissions reductions goals. By getting CSC certified, the Village is placing itself in a better position when applying for the DEC Zero-Emission Vehicle (ZEV) grants. </w:t>
      </w:r>
    </w:p>
    <w:p w14:paraId="46E7283B"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we would recommend partnering with</w:t>
      </w:r>
      <w:r>
        <w:rPr>
          <w:rFonts w:ascii="Times New Roman" w:eastAsia="Times New Roman" w:hAnsi="Times New Roman" w:cs="Times New Roman"/>
          <w:sz w:val="24"/>
          <w:szCs w:val="24"/>
        </w:rPr>
        <w:t xml:space="preserve"> Wells College for GHG emissions reduction strategies. They currently have their own climate action plan and greenhouse gas emission inventory which could provide promising information about savings on costs and emissions. </w:t>
      </w:r>
    </w:p>
    <w:p w14:paraId="2CFF300F" w14:textId="77777777" w:rsidR="002C4A20" w:rsidRDefault="002C4A20"/>
    <w:p w14:paraId="54E37402" w14:textId="77777777" w:rsidR="002C4A20" w:rsidRDefault="004E215C">
      <w:pPr>
        <w:pStyle w:val="Heading1"/>
        <w:spacing w:line="480" w:lineRule="auto"/>
        <w:rPr>
          <w:rFonts w:ascii="Times New Roman" w:eastAsia="Times New Roman" w:hAnsi="Times New Roman" w:cs="Times New Roman"/>
          <w:sz w:val="24"/>
          <w:szCs w:val="24"/>
        </w:rPr>
      </w:pPr>
      <w:bookmarkStart w:id="13" w:name="_rhymqnze0c4u" w:colFirst="0" w:colLast="0"/>
      <w:bookmarkEnd w:id="13"/>
      <w:r>
        <w:rPr>
          <w:rFonts w:ascii="Times New Roman" w:eastAsia="Times New Roman" w:hAnsi="Times New Roman" w:cs="Times New Roman"/>
          <w:color w:val="38761D"/>
          <w:sz w:val="28"/>
          <w:szCs w:val="28"/>
        </w:rPr>
        <w:lastRenderedPageBreak/>
        <w:t>Conclusion</w:t>
      </w:r>
    </w:p>
    <w:p w14:paraId="34E65249"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would once again like to thank the Village of Aurora, Joshua </w:t>
      </w:r>
      <w:proofErr w:type="gramStart"/>
      <w:r>
        <w:rPr>
          <w:rFonts w:ascii="Times New Roman" w:eastAsia="Times New Roman" w:hAnsi="Times New Roman" w:cs="Times New Roman"/>
          <w:sz w:val="24"/>
          <w:szCs w:val="24"/>
        </w:rPr>
        <w:t>Cousins,  Michael</w:t>
      </w:r>
      <w:proofErr w:type="gramEnd"/>
      <w:r>
        <w:rPr>
          <w:rFonts w:ascii="Times New Roman" w:eastAsia="Times New Roman" w:hAnsi="Times New Roman" w:cs="Times New Roman"/>
          <w:sz w:val="24"/>
          <w:szCs w:val="24"/>
        </w:rPr>
        <w:t xml:space="preserve"> Boccuzzi, Amanda Mazzoni, and the SUNY College of Environmental Science and Forestry for their help in seeing this project to fruition. The </w:t>
      </w:r>
      <w:proofErr w:type="gramStart"/>
      <w:r>
        <w:rPr>
          <w:rFonts w:ascii="Times New Roman" w:eastAsia="Times New Roman" w:hAnsi="Times New Roman" w:cs="Times New Roman"/>
          <w:sz w:val="24"/>
          <w:szCs w:val="24"/>
        </w:rPr>
        <w:t>aforementioned groups</w:t>
      </w:r>
      <w:proofErr w:type="gramEnd"/>
      <w:r>
        <w:rPr>
          <w:rFonts w:ascii="Times New Roman" w:eastAsia="Times New Roman" w:hAnsi="Times New Roman" w:cs="Times New Roman"/>
          <w:sz w:val="24"/>
          <w:szCs w:val="24"/>
        </w:rPr>
        <w:t xml:space="preserve"> have b</w:t>
      </w:r>
      <w:r>
        <w:rPr>
          <w:rFonts w:ascii="Times New Roman" w:eastAsia="Times New Roman" w:hAnsi="Times New Roman" w:cs="Times New Roman"/>
          <w:sz w:val="24"/>
          <w:szCs w:val="24"/>
        </w:rPr>
        <w:t>een integral in providing data, advice, and guidance in this project, and our gratitude for their continued support cannot be understated.</w:t>
      </w:r>
    </w:p>
    <w:p w14:paraId="02EF8108"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has shown that the Wastewater Treatment Plant (WWTP), and firehouse are the two most costly facilities f</w:t>
      </w:r>
      <w:r>
        <w:rPr>
          <w:rFonts w:ascii="Times New Roman" w:eastAsia="Times New Roman" w:hAnsi="Times New Roman" w:cs="Times New Roman"/>
          <w:sz w:val="24"/>
          <w:szCs w:val="24"/>
        </w:rPr>
        <w:t>or fuel and energy consumption, and the resultant recommendations are tailored as such: to improve efficiency, upgrade technologies, and transition to renewable energy. Comprising 45.5% and 37.5% of annual GHG emissions respectively, the WWTP and firehouse</w:t>
      </w:r>
      <w:r>
        <w:rPr>
          <w:rFonts w:ascii="Times New Roman" w:eastAsia="Times New Roman" w:hAnsi="Times New Roman" w:cs="Times New Roman"/>
          <w:sz w:val="24"/>
          <w:szCs w:val="24"/>
        </w:rPr>
        <w:t xml:space="preserve"> are, and will continue to be vital locations to improve sustainability in the coming years. With the vehicle fleet comprising 15.8% of GHG emissions, we also recommend pursuing Zero Emission Vehicle (ZEV) rebates, and the creation of a specific and action</w:t>
      </w:r>
      <w:r>
        <w:rPr>
          <w:rFonts w:ascii="Times New Roman" w:eastAsia="Times New Roman" w:hAnsi="Times New Roman" w:cs="Times New Roman"/>
          <w:sz w:val="24"/>
          <w:szCs w:val="24"/>
        </w:rPr>
        <w:t>able Climate Action Plan to achieve these goals.</w:t>
      </w:r>
    </w:p>
    <w:p w14:paraId="3935C076" w14:textId="77777777" w:rsidR="002C4A20" w:rsidRDefault="004E215C">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group wishes the best of luck to the Village of Aurora in establishing themselves as a Climate Smart Community and continuing to optimize their community in a way that will yield benefits in the form of </w:t>
      </w:r>
      <w:r>
        <w:rPr>
          <w:rFonts w:ascii="Times New Roman" w:eastAsia="Times New Roman" w:hAnsi="Times New Roman" w:cs="Times New Roman"/>
          <w:sz w:val="24"/>
          <w:szCs w:val="24"/>
        </w:rPr>
        <w:t xml:space="preserve">fiscal savings, ecosystem services, and time-saving efficiency. The Village has already taken </w:t>
      </w:r>
      <w:proofErr w:type="gramStart"/>
      <w:r>
        <w:rPr>
          <w:rFonts w:ascii="Times New Roman" w:eastAsia="Times New Roman" w:hAnsi="Times New Roman" w:cs="Times New Roman"/>
          <w:sz w:val="24"/>
          <w:szCs w:val="24"/>
        </w:rPr>
        <w:t>great</w:t>
      </w:r>
      <w:proofErr w:type="gramEnd"/>
      <w:r>
        <w:rPr>
          <w:rFonts w:ascii="Times New Roman" w:eastAsia="Times New Roman" w:hAnsi="Times New Roman" w:cs="Times New Roman"/>
          <w:sz w:val="24"/>
          <w:szCs w:val="24"/>
        </w:rPr>
        <w:t xml:space="preserve"> initiative to begin working towards CSC status and it is exciting to see where the Village of Aurora goes with their sustainability initiatives.</w:t>
      </w:r>
    </w:p>
    <w:sectPr w:rsidR="002C4A20">
      <w:head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990AF" w14:textId="77777777" w:rsidR="00000000" w:rsidRDefault="004E215C">
      <w:pPr>
        <w:spacing w:line="240" w:lineRule="auto"/>
      </w:pPr>
      <w:r>
        <w:separator/>
      </w:r>
    </w:p>
  </w:endnote>
  <w:endnote w:type="continuationSeparator" w:id="0">
    <w:p w14:paraId="54E382D4" w14:textId="77777777" w:rsidR="00000000" w:rsidRDefault="004E21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50ED" w14:textId="77777777" w:rsidR="002C4A20" w:rsidRDefault="002C4A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2158C" w14:textId="77777777" w:rsidR="00000000" w:rsidRDefault="004E215C">
      <w:pPr>
        <w:spacing w:line="240" w:lineRule="auto"/>
      </w:pPr>
      <w:r>
        <w:separator/>
      </w:r>
    </w:p>
  </w:footnote>
  <w:footnote w:type="continuationSeparator" w:id="0">
    <w:p w14:paraId="16A2AF88" w14:textId="77777777" w:rsidR="00000000" w:rsidRDefault="004E215C">
      <w:pPr>
        <w:spacing w:line="240" w:lineRule="auto"/>
      </w:pPr>
      <w:r>
        <w:continuationSeparator/>
      </w:r>
    </w:p>
  </w:footnote>
  <w:footnote w:id="1">
    <w:p w14:paraId="1DA4C89C" w14:textId="77777777" w:rsidR="002C4A20" w:rsidRDefault="004E215C">
      <w:pPr>
        <w:spacing w:line="240" w:lineRule="auto"/>
        <w:rPr>
          <w:sz w:val="20"/>
          <w:szCs w:val="20"/>
        </w:rPr>
      </w:pPr>
      <w:r>
        <w:rPr>
          <w:vertAlign w:val="superscript"/>
        </w:rPr>
        <w:footnoteRef/>
      </w:r>
      <w:r>
        <w:rPr>
          <w:sz w:val="20"/>
          <w:szCs w:val="20"/>
        </w:rPr>
        <w:t xml:space="preserve"> “About the Climate Smart Communities Program”, Climate Smart Communities, accessed May 3, 2023, </w:t>
      </w:r>
      <w:hyperlink r:id="rId1">
        <w:r>
          <w:rPr>
            <w:color w:val="1155CC"/>
            <w:sz w:val="20"/>
            <w:szCs w:val="20"/>
            <w:u w:val="single"/>
          </w:rPr>
          <w:t>https://climatesmart.ny.gov/about/</w:t>
        </w:r>
      </w:hyperlink>
    </w:p>
  </w:footnote>
  <w:footnote w:id="2">
    <w:p w14:paraId="55B0C417" w14:textId="77777777" w:rsidR="002C4A20" w:rsidRDefault="004E215C">
      <w:pPr>
        <w:spacing w:line="240" w:lineRule="auto"/>
        <w:rPr>
          <w:sz w:val="20"/>
          <w:szCs w:val="20"/>
        </w:rPr>
      </w:pPr>
      <w:r>
        <w:rPr>
          <w:vertAlign w:val="superscript"/>
        </w:rPr>
        <w:footnoteRef/>
      </w:r>
      <w:r>
        <w:rPr>
          <w:sz w:val="20"/>
          <w:szCs w:val="20"/>
        </w:rPr>
        <w:t xml:space="preserve"> </w:t>
      </w:r>
      <w:proofErr w:type="spellStart"/>
      <w:r>
        <w:rPr>
          <w:sz w:val="20"/>
          <w:szCs w:val="20"/>
        </w:rPr>
        <w:t>LaBella</w:t>
      </w:r>
      <w:proofErr w:type="spellEnd"/>
      <w:r>
        <w:rPr>
          <w:sz w:val="20"/>
          <w:szCs w:val="20"/>
        </w:rPr>
        <w:t xml:space="preserve"> Associates, “The Village</w:t>
      </w:r>
      <w:r>
        <w:rPr>
          <w:sz w:val="20"/>
          <w:szCs w:val="20"/>
        </w:rPr>
        <w:t xml:space="preserve"> of Aurora Comprehensive Plan”, December 15, 2021, </w:t>
      </w:r>
      <w:hyperlink r:id="rId2">
        <w:r>
          <w:rPr>
            <w:color w:val="1155CC"/>
            <w:sz w:val="20"/>
            <w:szCs w:val="20"/>
            <w:u w:val="single"/>
          </w:rPr>
          <w:t>https://auroranewyork.us/wp-content/uploads/2021/12/Aurora-CP-Final-211215.pdf</w:t>
        </w:r>
      </w:hyperlink>
    </w:p>
  </w:footnote>
  <w:footnote w:id="3">
    <w:p w14:paraId="795F81C4" w14:textId="77777777" w:rsidR="002C4A20" w:rsidRDefault="004E215C">
      <w:pPr>
        <w:spacing w:line="240" w:lineRule="auto"/>
        <w:rPr>
          <w:rFonts w:ascii="Times New Roman" w:eastAsia="Times New Roman" w:hAnsi="Times New Roman" w:cs="Times New Roman"/>
          <w:color w:val="333333"/>
          <w:sz w:val="20"/>
          <w:szCs w:val="20"/>
        </w:rPr>
      </w:pPr>
      <w:r>
        <w:rPr>
          <w:vertAlign w:val="superscript"/>
        </w:rPr>
        <w:footnoteRef/>
      </w:r>
      <w:r>
        <w:rPr>
          <w:rFonts w:ascii="Times New Roman" w:eastAsia="Times New Roman" w:hAnsi="Times New Roman" w:cs="Times New Roman"/>
          <w:sz w:val="20"/>
          <w:szCs w:val="20"/>
        </w:rPr>
        <w:t xml:space="preserve"> Calculations for CO₂ emitted were performed under the assumption of an AR5- </w:t>
      </w:r>
      <w:proofErr w:type="gramStart"/>
      <w:r>
        <w:rPr>
          <w:rFonts w:ascii="Times New Roman" w:eastAsia="Times New Roman" w:hAnsi="Times New Roman" w:cs="Times New Roman"/>
          <w:sz w:val="20"/>
          <w:szCs w:val="20"/>
        </w:rPr>
        <w:t>20 year</w:t>
      </w:r>
      <w:proofErr w:type="gramEnd"/>
      <w:r>
        <w:rPr>
          <w:rFonts w:ascii="Times New Roman" w:eastAsia="Times New Roman" w:hAnsi="Times New Roman" w:cs="Times New Roman"/>
          <w:sz w:val="20"/>
          <w:szCs w:val="20"/>
        </w:rPr>
        <w:t xml:space="preserve"> global w</w:t>
      </w:r>
      <w:r>
        <w:rPr>
          <w:rFonts w:ascii="Times New Roman" w:eastAsia="Times New Roman" w:hAnsi="Times New Roman" w:cs="Times New Roman"/>
          <w:sz w:val="20"/>
          <w:szCs w:val="20"/>
        </w:rPr>
        <w:t xml:space="preserve">arming potential and in the NPCC Upstate NY emission factor region. </w:t>
      </w:r>
      <w:r>
        <w:rPr>
          <w:rFonts w:ascii="Times New Roman" w:eastAsia="Times New Roman" w:hAnsi="Times New Roman" w:cs="Times New Roman"/>
          <w:color w:val="333333"/>
          <w:sz w:val="20"/>
          <w:szCs w:val="20"/>
        </w:rPr>
        <w:t>California Air Resources Board et al., “Local Government Operations Protocol,” May 2010, chrome-extension://efaidnbmnnnibpcajpcglclefindmkaj/https://ww2.arb.ca.gov/sites/default/files/clas</w:t>
      </w:r>
      <w:r>
        <w:rPr>
          <w:rFonts w:ascii="Times New Roman" w:eastAsia="Times New Roman" w:hAnsi="Times New Roman" w:cs="Times New Roman"/>
          <w:color w:val="333333"/>
          <w:sz w:val="20"/>
          <w:szCs w:val="20"/>
        </w:rPr>
        <w:t>sic/cc/protocols/lgo_protocol_v1_1_2010-05-03.pdf.</w:t>
      </w:r>
    </w:p>
    <w:p w14:paraId="60022D1E" w14:textId="77777777" w:rsidR="002C4A20" w:rsidRDefault="002C4A20">
      <w:pPr>
        <w:spacing w:line="240" w:lineRule="auto"/>
        <w:rPr>
          <w:rFonts w:ascii="Times New Roman" w:eastAsia="Times New Roman" w:hAnsi="Times New Roman" w:cs="Times New Roman"/>
          <w:sz w:val="20"/>
          <w:szCs w:val="20"/>
        </w:rPr>
      </w:pPr>
    </w:p>
  </w:footnote>
  <w:footnote w:id="4">
    <w:p w14:paraId="4E89CDE9" w14:textId="77777777" w:rsidR="002C4A20" w:rsidRDefault="004E21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“PE1 Action: CSC Task Force”, Climate Smart Communities, accessed May 2, 2023, </w:t>
      </w:r>
      <w:hyperlink r:id="rId3">
        <w:r>
          <w:rPr>
            <w:rFonts w:ascii="Times New Roman" w:eastAsia="Times New Roman" w:hAnsi="Times New Roman" w:cs="Times New Roman"/>
            <w:color w:val="1155CC"/>
            <w:sz w:val="20"/>
            <w:szCs w:val="20"/>
            <w:u w:val="single"/>
          </w:rPr>
          <w:t>https://climatesmart.ny.gov/actions-certification/actions/?type=1336777436&amp;t</w:t>
        </w:r>
        <w:r>
          <w:rPr>
            <w:rFonts w:ascii="Times New Roman" w:eastAsia="Times New Roman" w:hAnsi="Times New Roman" w:cs="Times New Roman"/>
            <w:color w:val="1155CC"/>
            <w:sz w:val="20"/>
            <w:szCs w:val="20"/>
            <w:u w:val="single"/>
          </w:rPr>
          <w:t>x_sjcert_action%5BactionObject%5D=2&amp;tx_sjcert_action%5Baction%5D=getPDF&amp;tx_sjcert_action%5Bcontroller%5D=Action&amp;cHash=62f5ea18215d56fddaabe3966c9753dc</w:t>
        </w:r>
      </w:hyperlink>
    </w:p>
  </w:footnote>
  <w:footnote w:id="5">
    <w:p w14:paraId="17AD40B5" w14:textId="77777777" w:rsidR="002C4A20" w:rsidRDefault="004E21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“PE2 Action: Government Operations GHG Inventory”, Climate Smart Communities, accessed May 2, 2023, </w:t>
      </w:r>
      <w:hyperlink r:id="rId4">
        <w:r>
          <w:rPr>
            <w:rFonts w:ascii="Times New Roman" w:eastAsia="Times New Roman" w:hAnsi="Times New Roman" w:cs="Times New Roman"/>
            <w:color w:val="1155CC"/>
            <w:sz w:val="20"/>
            <w:szCs w:val="20"/>
            <w:u w:val="single"/>
          </w:rPr>
          <w:t>https://climatesmart.ny.gov/actions-certification/actions/?type=1336777436&amp;tx_sjcert_action%5BactionObject%5D=6&amp;tx</w:t>
        </w:r>
        <w:r>
          <w:rPr>
            <w:rFonts w:ascii="Times New Roman" w:eastAsia="Times New Roman" w:hAnsi="Times New Roman" w:cs="Times New Roman"/>
            <w:color w:val="1155CC"/>
            <w:sz w:val="20"/>
            <w:szCs w:val="20"/>
            <w:u w:val="single"/>
          </w:rPr>
          <w:t>_sjcert_action%5Baction%5D=getPDF&amp;tx_sjcert_action%5Bcontroller%5D=Action&amp;cHash=8bc667611ae79325884ae20cc72df16c</w:t>
        </w:r>
      </w:hyperlink>
    </w:p>
  </w:footnote>
  <w:footnote w:id="6">
    <w:p w14:paraId="6C982A28" w14:textId="77777777" w:rsidR="002C4A20" w:rsidRDefault="004E21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w:t>
      </w:r>
      <w:r>
        <w:rPr>
          <w:rFonts w:ascii="Times New Roman" w:eastAsia="Times New Roman" w:hAnsi="Times New Roman" w:cs="Times New Roman"/>
          <w:sz w:val="20"/>
          <w:szCs w:val="20"/>
        </w:rPr>
        <w:t>.</w:t>
      </w:r>
    </w:p>
  </w:footnote>
  <w:footnote w:id="7">
    <w:p w14:paraId="24962889" w14:textId="77777777" w:rsidR="002C4A20" w:rsidRDefault="004E21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“PE2 Action: Government Operations Climate Action Plan”, Climate Smart Communities, accessed May 2, 2023, </w:t>
      </w:r>
      <w:hyperlink r:id="rId5">
        <w:r>
          <w:rPr>
            <w:rFonts w:ascii="Times New Roman" w:eastAsia="Times New Roman" w:hAnsi="Times New Roman" w:cs="Times New Roman"/>
            <w:color w:val="1155CC"/>
            <w:sz w:val="20"/>
            <w:szCs w:val="20"/>
            <w:u w:val="single"/>
          </w:rPr>
          <w:t>https://cli</w:t>
        </w:r>
        <w:r>
          <w:rPr>
            <w:rFonts w:ascii="Times New Roman" w:eastAsia="Times New Roman" w:hAnsi="Times New Roman" w:cs="Times New Roman"/>
            <w:color w:val="1155CC"/>
            <w:sz w:val="20"/>
            <w:szCs w:val="20"/>
            <w:u w:val="single"/>
          </w:rPr>
          <w:t>matesmart.ny.gov/actions-certification/actions/?type=1336777436&amp;tx_sjcert_action%5BactionObject%5D=10&amp;tx_sjcert_action%5Baction%5D=getPDF&amp;tx_sjcert_action%5Bcontroller%5D=Action&amp;cHash=e88c3cc9a4fd13bcec4f3a5a25699b62</w:t>
        </w:r>
      </w:hyperlink>
    </w:p>
  </w:footnote>
  <w:footnote w:id="8">
    <w:p w14:paraId="2F9DC7BE" w14:textId="77777777" w:rsidR="002C4A20" w:rsidRDefault="004E215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w:t>
      </w:r>
      <w:r>
        <w:rPr>
          <w:rFonts w:ascii="Times New Roman" w:eastAsia="Times New Roman" w:hAnsi="Times New Roman" w:cs="Times New Roman"/>
          <w:sz w:val="20"/>
          <w:szCs w:val="20"/>
        </w:rPr>
        <w:t xml:space="preserve">E2 Action: Community Climate Action Plan”, Climate Smart Communities, accessed May 2, 2023, </w:t>
      </w:r>
      <w:hyperlink r:id="rId6">
        <w:r>
          <w:rPr>
            <w:rFonts w:ascii="Times New Roman" w:eastAsia="Times New Roman" w:hAnsi="Times New Roman" w:cs="Times New Roman"/>
            <w:color w:val="1155CC"/>
            <w:sz w:val="20"/>
            <w:szCs w:val="20"/>
            <w:u w:val="single"/>
          </w:rPr>
          <w:t>https://clima</w:t>
        </w:r>
        <w:r>
          <w:rPr>
            <w:rFonts w:ascii="Times New Roman" w:eastAsia="Times New Roman" w:hAnsi="Times New Roman" w:cs="Times New Roman"/>
            <w:color w:val="1155CC"/>
            <w:sz w:val="20"/>
            <w:szCs w:val="20"/>
            <w:u w:val="single"/>
          </w:rPr>
          <w:t>tesmart.ny.gov/actions-certification/actions/?type=1336777436&amp;tx_sjcert_action%5BactionObject%5D=11&amp;tx_sjcert_action%5Baction%5D=getPDF&amp;tx_sjcert_action%5Bcontroller%5D=Action&amp;cHash=a9105ba573a674bbcac183a9d6e25010</w:t>
        </w:r>
      </w:hyperlink>
    </w:p>
  </w:footnote>
  <w:footnote w:id="9">
    <w:p w14:paraId="530491CC" w14:textId="77777777" w:rsidR="002C4A20" w:rsidRDefault="004E215C">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Self-Assessment for Wastewater Treatment Plant Optimization,” Ameri</w:t>
      </w:r>
      <w:r>
        <w:rPr>
          <w:rFonts w:ascii="Times New Roman" w:eastAsia="Times New Roman" w:hAnsi="Times New Roman" w:cs="Times New Roman"/>
          <w:sz w:val="20"/>
          <w:szCs w:val="20"/>
        </w:rPr>
        <w:t xml:space="preserve">can Water Works Association, 2017, </w:t>
      </w:r>
      <w:hyperlink r:id="rId7">
        <w:r>
          <w:rPr>
            <w:rFonts w:ascii="Times New Roman" w:eastAsia="Times New Roman" w:hAnsi="Times New Roman" w:cs="Times New Roman"/>
            <w:color w:val="1155CC"/>
            <w:sz w:val="20"/>
            <w:szCs w:val="20"/>
            <w:u w:val="single"/>
          </w:rPr>
          <w:t>https://www.awwa.org/Portals/0/AWWA/Partnerships/PCW/20828_SelfAssessmentforWWTPOpt.pdf</w:t>
        </w:r>
      </w:hyperlink>
    </w:p>
  </w:footnote>
  <w:footnote w:id="10">
    <w:p w14:paraId="715A2DC7" w14:textId="77777777" w:rsidR="002C4A20" w:rsidRDefault="004E21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5 ways to improve water treatment plant efficiency,” World Pumps, 2017, August 3 worldpumps.com/content/features/5-ways-to-improve-water-treatment-plant-efficiency/</w:t>
      </w:r>
    </w:p>
  </w:footnote>
  <w:footnote w:id="11">
    <w:p w14:paraId="2B9B1000" w14:textId="77777777" w:rsidR="002C4A20" w:rsidRDefault="004E215C">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Ibid.</w:t>
      </w:r>
    </w:p>
  </w:footnote>
  <w:footnote w:id="12">
    <w:p w14:paraId="76C18845" w14:textId="77777777" w:rsidR="002C4A20" w:rsidRDefault="004E215C">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“Advanced Metering Infrastructure,” Ameresco, accessed May 2, 2023, </w:t>
      </w:r>
      <w:hyperlink r:id="rId8" w:anchor=":~:text=Advanced%20Metering%20Infrastructure%20(AMI)%20and,and%20gas%20utility%20distribution%20systems.">
        <w:r>
          <w:rPr>
            <w:rFonts w:ascii="Times New Roman" w:eastAsia="Times New Roman" w:hAnsi="Times New Roman" w:cs="Times New Roman"/>
            <w:color w:val="1155CC"/>
            <w:sz w:val="20"/>
            <w:szCs w:val="20"/>
            <w:u w:val="single"/>
          </w:rPr>
          <w:t>htt</w:t>
        </w:r>
        <w:r>
          <w:rPr>
            <w:rFonts w:ascii="Times New Roman" w:eastAsia="Times New Roman" w:hAnsi="Times New Roman" w:cs="Times New Roman"/>
            <w:color w:val="1155CC"/>
            <w:sz w:val="20"/>
            <w:szCs w:val="20"/>
            <w:u w:val="single"/>
          </w:rPr>
          <w:t>ps://www.ameresco.com/advanced-metering-infrastucture/#:~:text=Advanced%20Metering%20Infrastructure%20(AMI)%20and,and%20gas%20utility%20distribution%20systems.</w:t>
        </w:r>
      </w:hyperlink>
      <w:hyperlink r:id="rId9" w:anchor=":~:text=Advanced%20Metering%20Infrastructure%20(AMI)%20and,and%20gas%20utility%20distribution%20systems.">
        <w:r>
          <w:rPr>
            <w:color w:val="1155CC"/>
            <w:sz w:val="20"/>
            <w:szCs w:val="20"/>
            <w:u w:val="single"/>
          </w:rP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7BAD" w14:textId="77777777" w:rsidR="002C4A20" w:rsidRDefault="004E215C">
    <w:pPr>
      <w:rPr>
        <w:rFonts w:ascii="Times New Roman" w:eastAsia="Times New Roman" w:hAnsi="Times New Roman" w:cs="Times New Roman"/>
        <w:sz w:val="24"/>
        <w:szCs w:val="24"/>
      </w:rPr>
    </w:pPr>
    <w:r>
      <w:rPr>
        <w:rFonts w:ascii="Times New Roman" w:eastAsia="Times New Roman" w:hAnsi="Times New Roman" w:cs="Times New Roman"/>
        <w:sz w:val="24"/>
        <w:szCs w:val="24"/>
      </w:rPr>
      <w:t>Village of Aurora: 2022 Municipal Greenhouse Gas Inventory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015B" w14:textId="77777777" w:rsidR="002C4A20" w:rsidRDefault="002C4A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94DD8"/>
    <w:multiLevelType w:val="multilevel"/>
    <w:tmpl w:val="4D4A80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35822F1"/>
    <w:multiLevelType w:val="multilevel"/>
    <w:tmpl w:val="67EAF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24859753">
    <w:abstractNumId w:val="0"/>
  </w:num>
  <w:num w:numId="2" w16cid:durableId="492307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A20"/>
    <w:rsid w:val="002C4A20"/>
    <w:rsid w:val="004E2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3E9C7"/>
  <w15:docId w15:val="{F0D56397-043B-45C0-AF11-6C353EA16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ameresco.com/advanced-metering-infrastucture/" TargetMode="External"/><Relationship Id="rId3" Type="http://schemas.openxmlformats.org/officeDocument/2006/relationships/hyperlink" Target="https://climatesmart.ny.gov/actions-certification/actions/?type=1336777436&amp;tx_sjcert_action%5BactionObject%5D=2&amp;tx_sjcert_action%5Baction%5D=getPDF&amp;tx_sjcert_action%5Bcontroller%5D=Action&amp;cHash=62f5ea18215d56fddaabe3966c9753dc" TargetMode="External"/><Relationship Id="rId7" Type="http://schemas.openxmlformats.org/officeDocument/2006/relationships/hyperlink" Target="https://www.awwa.org/Portals/0/AWWA/Partnerships/PCW/20828_SelfAssessmentforWWTPOpt.pdf" TargetMode="External"/><Relationship Id="rId2" Type="http://schemas.openxmlformats.org/officeDocument/2006/relationships/hyperlink" Target="https://auroranewyork.us/wp-content/uploads/2021/12/Aurora-CP-Final-211215.pdf" TargetMode="External"/><Relationship Id="rId1" Type="http://schemas.openxmlformats.org/officeDocument/2006/relationships/hyperlink" Target="https://climatesmart.ny.gov/about/" TargetMode="External"/><Relationship Id="rId6" Type="http://schemas.openxmlformats.org/officeDocument/2006/relationships/hyperlink" Target="https://climatesmart.ny.gov/actions-certification/actions/?type=1336777436&amp;tx_sjcert_action%5BactionObject%5D=11&amp;tx_sjcert_action%5Baction%5D=getPDF&amp;tx_sjcert_action%5Bcontroller%5D=Action&amp;cHash=a9105ba573a674bbcac183a9d6e25010" TargetMode="External"/><Relationship Id="rId5" Type="http://schemas.openxmlformats.org/officeDocument/2006/relationships/hyperlink" Target="https://climatesmart.ny.gov/actions-certification/actions/?type=1336777436&amp;tx_sjcert_action%5BactionObject%5D=10&amp;tx_sjcert_action%5Baction%5D=getPDF&amp;tx_sjcert_action%5Bcontroller%5D=Action&amp;cHash=e88c3cc9a4fd13bcec4f3a5a25699b62" TargetMode="External"/><Relationship Id="rId4" Type="http://schemas.openxmlformats.org/officeDocument/2006/relationships/hyperlink" Target="https://climatesmart.ny.gov/actions-certification/actions/?type=1336777436&amp;tx_sjcert_action%5BactionObject%5D=6&amp;tx_sjcert_action%5Baction%5D=getPDF&amp;tx_sjcert_action%5Bcontroller%5D=Action&amp;cHash=8bc667611ae79325884ae20cc72df16c" TargetMode="External"/><Relationship Id="rId9" Type="http://schemas.openxmlformats.org/officeDocument/2006/relationships/hyperlink" Target="https://www.ameresco.com/advanced-metering-infrastuctur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S2\Company\CNYRPDB%20Programs\Energy\Climate%20Smart%20Communities\CSC%20Certification\Aurora%20Village\GHG%20Inventory\BEST%20GHG%20Inventory%20Tool%20Auro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en-US" b="0">
                <a:solidFill>
                  <a:srgbClr val="757575"/>
                </a:solidFill>
                <a:latin typeface="+mn-lt"/>
              </a:rPr>
              <a:t>Annual Electricity Use by Facility (kWh)</a:t>
            </a:r>
          </a:p>
        </c:rich>
      </c:tx>
      <c:layout>
        <c:manualLayout>
          <c:xMode val="edge"/>
          <c:yMode val="edge"/>
          <c:x val="0.16735555555555556"/>
          <c:y val="2.15633423180593E-2"/>
        </c:manualLayout>
      </c:layout>
      <c:overlay val="0"/>
    </c:title>
    <c:autoTitleDeleted val="0"/>
    <c:plotArea>
      <c:layout/>
      <c:pieChart>
        <c:varyColors val="1"/>
        <c:ser>
          <c:idx val="0"/>
          <c:order val="0"/>
          <c:tx>
            <c:strRef>
              <c:f>'GHG Inventory'!$D$17</c:f>
              <c:strCache>
                <c:ptCount val="1"/>
                <c:pt idx="0">
                  <c:v>Electricity (kWh)</c:v>
                </c:pt>
              </c:strCache>
            </c:strRef>
          </c:tx>
          <c:dPt>
            <c:idx val="0"/>
            <c:bubble3D val="0"/>
            <c:spPr>
              <a:solidFill>
                <a:srgbClr val="4472C4"/>
              </a:solidFill>
            </c:spPr>
            <c:extLst>
              <c:ext xmlns:c16="http://schemas.microsoft.com/office/drawing/2014/chart" uri="{C3380CC4-5D6E-409C-BE32-E72D297353CC}">
                <c16:uniqueId val="{00000001-995F-4DCD-AA5C-174487B3FF9F}"/>
              </c:ext>
            </c:extLst>
          </c:dPt>
          <c:dPt>
            <c:idx val="1"/>
            <c:bubble3D val="0"/>
            <c:spPr>
              <a:solidFill>
                <a:srgbClr val="ED7D31"/>
              </a:solidFill>
            </c:spPr>
            <c:extLst>
              <c:ext xmlns:c16="http://schemas.microsoft.com/office/drawing/2014/chart" uri="{C3380CC4-5D6E-409C-BE32-E72D297353CC}">
                <c16:uniqueId val="{00000003-995F-4DCD-AA5C-174487B3FF9F}"/>
              </c:ext>
            </c:extLst>
          </c:dPt>
          <c:dPt>
            <c:idx val="2"/>
            <c:bubble3D val="0"/>
            <c:spPr>
              <a:solidFill>
                <a:srgbClr val="A5A5A5"/>
              </a:solidFill>
            </c:spPr>
            <c:extLst>
              <c:ext xmlns:c16="http://schemas.microsoft.com/office/drawing/2014/chart" uri="{C3380CC4-5D6E-409C-BE32-E72D297353CC}">
                <c16:uniqueId val="{00000005-995F-4DCD-AA5C-174487B3FF9F}"/>
              </c:ext>
            </c:extLst>
          </c:dPt>
          <c:dPt>
            <c:idx val="3"/>
            <c:bubble3D val="0"/>
            <c:spPr>
              <a:solidFill>
                <a:srgbClr val="FFC000"/>
              </a:solidFill>
            </c:spPr>
            <c:extLst>
              <c:ext xmlns:c16="http://schemas.microsoft.com/office/drawing/2014/chart" uri="{C3380CC4-5D6E-409C-BE32-E72D297353CC}">
                <c16:uniqueId val="{00000007-995F-4DCD-AA5C-174487B3FF9F}"/>
              </c:ext>
            </c:extLst>
          </c:dPt>
          <c:dPt>
            <c:idx val="4"/>
            <c:bubble3D val="0"/>
            <c:spPr>
              <a:solidFill>
                <a:srgbClr val="5B9BD5"/>
              </a:solidFill>
            </c:spPr>
            <c:extLst>
              <c:ext xmlns:c16="http://schemas.microsoft.com/office/drawing/2014/chart" uri="{C3380CC4-5D6E-409C-BE32-E72D297353CC}">
                <c16:uniqueId val="{00000009-995F-4DCD-AA5C-174487B3FF9F}"/>
              </c:ext>
            </c:extLst>
          </c:dPt>
          <c:dLbls>
            <c:dLbl>
              <c:idx val="1"/>
              <c:layout>
                <c:manualLayout>
                  <c:x val="-3.5192825896762946E-2"/>
                  <c:y val="1.24371246047074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5F-4DCD-AA5C-174487B3FF9F}"/>
                </c:ext>
              </c:extLst>
            </c:dLbl>
            <c:dLbl>
              <c:idx val="2"/>
              <c:layout>
                <c:manualLayout>
                  <c:x val="-5.7275940507436569E-2"/>
                  <c:y val="-3.31158605174353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5F-4DCD-AA5C-174487B3FF9F}"/>
                </c:ext>
              </c:extLst>
            </c:dLbl>
            <c:dLbl>
              <c:idx val="3"/>
              <c:layout>
                <c:manualLayout>
                  <c:x val="-1.5180139982502188E-2"/>
                  <c:y val="-2.60047682718905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5F-4DCD-AA5C-174487B3FF9F}"/>
                </c:ext>
              </c:extLst>
            </c:dLbl>
            <c:dLbl>
              <c:idx val="4"/>
              <c:layout>
                <c:manualLayout>
                  <c:x val="8.0243219597550298E-3"/>
                  <c:y val="-2.97132669737037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5F-4DCD-AA5C-174487B3FF9F}"/>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'GHG Inventory'!$B$19:$B$23</c:f>
              <c:strCache>
                <c:ptCount val="5"/>
                <c:pt idx="0">
                  <c:v>WWTP (incl. outdoor lighting)</c:v>
                </c:pt>
                <c:pt idx="1">
                  <c:v>Fire House (2nd Floor)</c:v>
                </c:pt>
                <c:pt idx="2">
                  <c:v>Water Storage</c:v>
                </c:pt>
                <c:pt idx="3">
                  <c:v>Streetlights (Route 90)</c:v>
                </c:pt>
                <c:pt idx="4">
                  <c:v>Streetlights (Main St.)</c:v>
                </c:pt>
              </c:strCache>
            </c:strRef>
          </c:cat>
          <c:val>
            <c:numRef>
              <c:f>'GHG Inventory'!$D$19:$D$23</c:f>
              <c:numCache>
                <c:formatCode>_(* #,##0_);_(* \(#,##0\);_(* "-"??_);_(@_)</c:formatCode>
                <c:ptCount val="5"/>
                <c:pt idx="0">
                  <c:v>308000</c:v>
                </c:pt>
                <c:pt idx="1">
                  <c:v>15960</c:v>
                </c:pt>
                <c:pt idx="2">
                  <c:v>3250</c:v>
                </c:pt>
                <c:pt idx="3">
                  <c:v>9225</c:v>
                </c:pt>
                <c:pt idx="4">
                  <c:v>158</c:v>
                </c:pt>
              </c:numCache>
            </c:numRef>
          </c:val>
          <c:extLst>
            <c:ext xmlns:c16="http://schemas.microsoft.com/office/drawing/2014/chart" uri="{C3380CC4-5D6E-409C-BE32-E72D297353CC}">
              <c16:uniqueId val="{0000000A-995F-4DCD-AA5C-174487B3FF9F}"/>
            </c:ext>
          </c:extLst>
        </c:ser>
        <c:dLbls>
          <c:dLblPos val="bestFit"/>
          <c:showLegendKey val="0"/>
          <c:showVal val="1"/>
          <c:showCatName val="0"/>
          <c:showSerName val="0"/>
          <c:showPercent val="0"/>
          <c:showBubbleSize val="0"/>
          <c:showLeaderLines val="1"/>
        </c:dLbls>
        <c:firstSliceAng val="0"/>
      </c:pieChart>
    </c:plotArea>
    <c:legend>
      <c:legendPos val="b"/>
      <c:layout>
        <c:manualLayout>
          <c:xMode val="edge"/>
          <c:yMode val="edge"/>
          <c:x val="0.13836202974628173"/>
          <c:y val="0.82780765611845686"/>
          <c:w val="0.78008118985126862"/>
          <c:h val="0.12547176885908129"/>
        </c:manualLayout>
      </c:layout>
      <c:overlay val="0"/>
      <c:txPr>
        <a:bodyPr/>
        <a:lstStyle/>
        <a:p>
          <a:pPr lvl="0">
            <a:defRPr b="0">
              <a:solidFill>
                <a:srgbClr val="1A1A1A"/>
              </a:solidFill>
              <a:latin typeface="+mn-lt"/>
            </a:defRPr>
          </a:pPr>
          <a:endParaRPr lang="en-US"/>
        </a:p>
      </c:txPr>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3431</Words>
  <Characters>19558</Characters>
  <Application>Microsoft Office Word</Application>
  <DocSecurity>0</DocSecurity>
  <Lines>162</Lines>
  <Paragraphs>45</Paragraphs>
  <ScaleCrop>false</ScaleCrop>
  <Company/>
  <LinksUpToDate>false</LinksUpToDate>
  <CharactersWithSpaces>22944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Boccuzzi</cp:lastModifiedBy>
  <cp:revision>2</cp:revision>
  <dcterms:created xsi:type="dcterms:W3CDTF">2023-05-12T14:04:00Z</dcterms:created>
  <dcterms:modified xsi:type="dcterms:W3CDTF">2023-05-12T14:08:00Z</dcterms:modified>
</cp:coreProperties>
</file>